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Style w:val="Hyperlink"/>
          <w:noProof/>
        </w:rPr>
        <w:id w:val="6978799"/>
        <w:docPartObj>
          <w:docPartGallery w:val="Table of Contents"/>
          <w:docPartUnique/>
        </w:docPartObj>
      </w:sdtPr>
      <w:sdtEndPr>
        <w:rPr>
          <w:rStyle w:val="Hyperlink"/>
          <w:b w:val="0"/>
        </w:rPr>
      </w:sdtEndPr>
      <w:sdtContent>
        <w:bookmarkStart w:id="0" w:name="_Toc450906500" w:displacedByCustomXml="prev"/>
        <w:bookmarkStart w:id="1" w:name="_Toc297207910" w:displacedByCustomXml="prev"/>
        <w:p w:rsidR="00F73757" w:rsidRPr="001F039E" w:rsidRDefault="00F73757" w:rsidP="001F039E">
          <w:pPr>
            <w:pStyle w:val="Verzeichnis1"/>
            <w:rPr>
              <w:rStyle w:val="Hyperlink"/>
              <w:noProof/>
            </w:rPr>
          </w:pPr>
          <w:r w:rsidRPr="001F039E">
            <w:rPr>
              <w:kern w:val="32"/>
            </w:rPr>
            <w:t>Anlage 4: Geschäftsbedingungen für den Bilanzkreisvertrag</w:t>
          </w:r>
          <w:bookmarkEnd w:id="1"/>
          <w:bookmarkEnd w:id="0"/>
        </w:p>
        <w:p w:rsidR="002911B6" w:rsidRPr="001F039E" w:rsidRDefault="002911B6" w:rsidP="001F039E">
          <w:pPr>
            <w:pStyle w:val="Verzeichnis1"/>
            <w:rPr>
              <w:rStyle w:val="Hyperlink"/>
              <w:b w:val="0"/>
              <w:noProof/>
            </w:rPr>
          </w:pPr>
        </w:p>
        <w:p w:rsidR="00C75F67" w:rsidRPr="001F039E" w:rsidRDefault="00C75F67" w:rsidP="001F039E">
          <w:pPr>
            <w:pStyle w:val="Verzeichnis1"/>
            <w:rPr>
              <w:kern w:val="32"/>
            </w:rPr>
          </w:pPr>
          <w:r w:rsidRPr="001F039E">
            <w:rPr>
              <w:kern w:val="32"/>
            </w:rPr>
            <w:t>Inhaltsverzeichnis</w:t>
          </w:r>
        </w:p>
        <w:p w:rsidR="00F3745D" w:rsidRPr="000B4172" w:rsidRDefault="00C6426A">
          <w:pPr>
            <w:pStyle w:val="Verzeichnis1"/>
            <w:rPr>
              <w:rFonts w:asciiTheme="minorHAnsi" w:eastAsiaTheme="minorEastAsia" w:hAnsiTheme="minorHAnsi" w:cstheme="minorBidi"/>
              <w:b w:val="0"/>
              <w:bCs w:val="0"/>
              <w:noProof/>
              <w:szCs w:val="22"/>
            </w:rPr>
          </w:pPr>
          <w:r w:rsidRPr="000B4172">
            <w:rPr>
              <w:rStyle w:val="Hyperlink"/>
              <w:b w:val="0"/>
              <w:noProof/>
            </w:rPr>
            <w:fldChar w:fldCharType="begin"/>
          </w:r>
          <w:r w:rsidR="00C75F67" w:rsidRPr="000B4172">
            <w:rPr>
              <w:rStyle w:val="Hyperlink"/>
              <w:b w:val="0"/>
              <w:noProof/>
            </w:rPr>
            <w:instrText xml:space="preserve"> TOC \o "1-3" \h \z \u </w:instrText>
          </w:r>
          <w:r w:rsidRPr="000B4172">
            <w:rPr>
              <w:rStyle w:val="Hyperlink"/>
              <w:b w:val="0"/>
              <w:noProof/>
            </w:rPr>
            <w:fldChar w:fldCharType="separate"/>
          </w:r>
          <w:hyperlink w:anchor="_Toc476824404" w:history="1">
            <w:r w:rsidR="00F3745D" w:rsidRPr="000B4172">
              <w:rPr>
                <w:rStyle w:val="Hyperlink"/>
                <w:b w:val="0"/>
                <w:noProof/>
              </w:rPr>
              <w:t>§ 1 Gegenstand des Vertrages</w:t>
            </w:r>
            <w:r w:rsidR="00F3745D" w:rsidRPr="000B4172">
              <w:rPr>
                <w:b w:val="0"/>
                <w:noProof/>
                <w:webHidden/>
              </w:rPr>
              <w:tab/>
            </w:r>
            <w:r w:rsidR="00F3745D" w:rsidRPr="000B4172">
              <w:rPr>
                <w:b w:val="0"/>
                <w:noProof/>
                <w:webHidden/>
              </w:rPr>
              <w:fldChar w:fldCharType="begin"/>
            </w:r>
            <w:r w:rsidR="00F3745D" w:rsidRPr="000B4172">
              <w:rPr>
                <w:b w:val="0"/>
                <w:noProof/>
                <w:webHidden/>
              </w:rPr>
              <w:instrText xml:space="preserve"> PAGEREF _Toc476824404 \h </w:instrText>
            </w:r>
            <w:r w:rsidR="00F3745D" w:rsidRPr="000B4172">
              <w:rPr>
                <w:b w:val="0"/>
                <w:noProof/>
                <w:webHidden/>
              </w:rPr>
            </w:r>
            <w:r w:rsidR="00F3745D" w:rsidRPr="000B4172">
              <w:rPr>
                <w:b w:val="0"/>
                <w:noProof/>
                <w:webHidden/>
              </w:rPr>
              <w:fldChar w:fldCharType="separate"/>
            </w:r>
            <w:r w:rsidR="00F3745D" w:rsidRPr="000B4172">
              <w:rPr>
                <w:b w:val="0"/>
                <w:noProof/>
                <w:webHidden/>
              </w:rPr>
              <w:t>3</w:t>
            </w:r>
            <w:r w:rsidR="00F3745D"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05" w:history="1">
            <w:r w:rsidRPr="000B4172">
              <w:rPr>
                <w:rStyle w:val="Hyperlink"/>
                <w:b w:val="0"/>
                <w:noProof/>
              </w:rPr>
              <w:t>§ 2 Vertragsbestandteile</w:t>
            </w:r>
            <w:r w:rsidRPr="000B4172">
              <w:rPr>
                <w:b w:val="0"/>
                <w:noProof/>
                <w:webHidden/>
              </w:rPr>
              <w:tab/>
            </w:r>
            <w:r w:rsidRPr="000B4172">
              <w:rPr>
                <w:b w:val="0"/>
                <w:noProof/>
                <w:webHidden/>
              </w:rPr>
              <w:fldChar w:fldCharType="begin"/>
            </w:r>
            <w:r w:rsidRPr="000B4172">
              <w:rPr>
                <w:b w:val="0"/>
                <w:noProof/>
                <w:webHidden/>
              </w:rPr>
              <w:instrText xml:space="preserve"> PAGEREF _Toc476824405 \h </w:instrText>
            </w:r>
            <w:r w:rsidRPr="000B4172">
              <w:rPr>
                <w:b w:val="0"/>
                <w:noProof/>
                <w:webHidden/>
              </w:rPr>
            </w:r>
            <w:r w:rsidRPr="000B4172">
              <w:rPr>
                <w:b w:val="0"/>
                <w:noProof/>
                <w:webHidden/>
              </w:rPr>
              <w:fldChar w:fldCharType="separate"/>
            </w:r>
            <w:r w:rsidRPr="000B4172">
              <w:rPr>
                <w:b w:val="0"/>
                <w:noProof/>
                <w:webHidden/>
              </w:rPr>
              <w:t>3</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06" w:history="1">
            <w:r w:rsidRPr="000B4172">
              <w:rPr>
                <w:rStyle w:val="Hyperlink"/>
                <w:b w:val="0"/>
                <w:noProof/>
              </w:rPr>
              <w:t>§ 3 Online-Vertragsschluss und Implementierungsfrist</w:t>
            </w:r>
            <w:r w:rsidRPr="000B4172">
              <w:rPr>
                <w:b w:val="0"/>
                <w:noProof/>
                <w:webHidden/>
              </w:rPr>
              <w:tab/>
            </w:r>
            <w:r w:rsidRPr="000B4172">
              <w:rPr>
                <w:b w:val="0"/>
                <w:noProof/>
                <w:webHidden/>
              </w:rPr>
              <w:fldChar w:fldCharType="begin"/>
            </w:r>
            <w:r w:rsidRPr="000B4172">
              <w:rPr>
                <w:b w:val="0"/>
                <w:noProof/>
                <w:webHidden/>
              </w:rPr>
              <w:instrText xml:space="preserve"> PAGEREF _Toc476824406 \h </w:instrText>
            </w:r>
            <w:r w:rsidRPr="000B4172">
              <w:rPr>
                <w:b w:val="0"/>
                <w:noProof/>
                <w:webHidden/>
              </w:rPr>
            </w:r>
            <w:r w:rsidRPr="000B4172">
              <w:rPr>
                <w:b w:val="0"/>
                <w:noProof/>
                <w:webHidden/>
              </w:rPr>
              <w:fldChar w:fldCharType="separate"/>
            </w:r>
            <w:r w:rsidRPr="000B4172">
              <w:rPr>
                <w:b w:val="0"/>
                <w:noProof/>
                <w:webHidden/>
              </w:rPr>
              <w:t>3</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07" w:history="1">
            <w:r w:rsidRPr="000B4172">
              <w:rPr>
                <w:rStyle w:val="Hyperlink"/>
                <w:b w:val="0"/>
                <w:noProof/>
              </w:rPr>
              <w:t>§ 4 Tagesbilanzierung</w:t>
            </w:r>
            <w:r w:rsidRPr="000B4172">
              <w:rPr>
                <w:b w:val="0"/>
                <w:noProof/>
                <w:webHidden/>
              </w:rPr>
              <w:tab/>
            </w:r>
            <w:r w:rsidRPr="000B4172">
              <w:rPr>
                <w:b w:val="0"/>
                <w:noProof/>
                <w:webHidden/>
              </w:rPr>
              <w:fldChar w:fldCharType="begin"/>
            </w:r>
            <w:r w:rsidRPr="000B4172">
              <w:rPr>
                <w:b w:val="0"/>
                <w:noProof/>
                <w:webHidden/>
              </w:rPr>
              <w:instrText xml:space="preserve"> PAGEREF _Toc476824407 \h </w:instrText>
            </w:r>
            <w:r w:rsidRPr="000B4172">
              <w:rPr>
                <w:b w:val="0"/>
                <w:noProof/>
                <w:webHidden/>
              </w:rPr>
            </w:r>
            <w:r w:rsidRPr="000B4172">
              <w:rPr>
                <w:b w:val="0"/>
                <w:noProof/>
                <w:webHidden/>
              </w:rPr>
              <w:fldChar w:fldCharType="separate"/>
            </w:r>
            <w:r w:rsidRPr="000B4172">
              <w:rPr>
                <w:b w:val="0"/>
                <w:noProof/>
                <w:webHidden/>
              </w:rPr>
              <w:t>3</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08" w:history="1">
            <w:r w:rsidRPr="000B4172">
              <w:rPr>
                <w:rStyle w:val="Hyperlink"/>
                <w:b w:val="0"/>
                <w:noProof/>
              </w:rPr>
              <w:t>§ 5 Ausgeglichenheit des Bilanzkreises</w:t>
            </w:r>
            <w:r w:rsidRPr="000B4172">
              <w:rPr>
                <w:b w:val="0"/>
                <w:noProof/>
                <w:webHidden/>
              </w:rPr>
              <w:tab/>
            </w:r>
            <w:r w:rsidRPr="000B4172">
              <w:rPr>
                <w:b w:val="0"/>
                <w:noProof/>
                <w:webHidden/>
              </w:rPr>
              <w:fldChar w:fldCharType="begin"/>
            </w:r>
            <w:r w:rsidRPr="000B4172">
              <w:rPr>
                <w:b w:val="0"/>
                <w:noProof/>
                <w:webHidden/>
              </w:rPr>
              <w:instrText xml:space="preserve"> PAGEREF _Toc476824408 \h </w:instrText>
            </w:r>
            <w:r w:rsidRPr="000B4172">
              <w:rPr>
                <w:b w:val="0"/>
                <w:noProof/>
                <w:webHidden/>
              </w:rPr>
            </w:r>
            <w:r w:rsidRPr="000B4172">
              <w:rPr>
                <w:b w:val="0"/>
                <w:noProof/>
                <w:webHidden/>
              </w:rPr>
              <w:fldChar w:fldCharType="separate"/>
            </w:r>
            <w:r w:rsidRPr="000B4172">
              <w:rPr>
                <w:b w:val="0"/>
                <w:noProof/>
                <w:webHidden/>
              </w:rPr>
              <w:t>4</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09" w:history="1">
            <w:r w:rsidRPr="000B4172">
              <w:rPr>
                <w:rStyle w:val="Hyperlink"/>
                <w:b w:val="0"/>
                <w:noProof/>
              </w:rPr>
              <w:t>§ 6 Untertägige Verpflichtungen</w:t>
            </w:r>
            <w:r w:rsidRPr="000B4172">
              <w:rPr>
                <w:b w:val="0"/>
                <w:noProof/>
                <w:webHidden/>
              </w:rPr>
              <w:tab/>
            </w:r>
            <w:r w:rsidRPr="000B4172">
              <w:rPr>
                <w:b w:val="0"/>
                <w:noProof/>
                <w:webHidden/>
              </w:rPr>
              <w:fldChar w:fldCharType="begin"/>
            </w:r>
            <w:r w:rsidRPr="000B4172">
              <w:rPr>
                <w:b w:val="0"/>
                <w:noProof/>
                <w:webHidden/>
              </w:rPr>
              <w:instrText xml:space="preserve"> PAGEREF _Toc476824409 \h </w:instrText>
            </w:r>
            <w:r w:rsidRPr="000B4172">
              <w:rPr>
                <w:b w:val="0"/>
                <w:noProof/>
                <w:webHidden/>
              </w:rPr>
            </w:r>
            <w:r w:rsidRPr="000B4172">
              <w:rPr>
                <w:b w:val="0"/>
                <w:noProof/>
                <w:webHidden/>
              </w:rPr>
              <w:fldChar w:fldCharType="separate"/>
            </w:r>
            <w:r w:rsidRPr="000B4172">
              <w:rPr>
                <w:b w:val="0"/>
                <w:noProof/>
                <w:webHidden/>
              </w:rPr>
              <w:t>5</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10" w:history="1">
            <w:r w:rsidRPr="000B4172">
              <w:rPr>
                <w:rStyle w:val="Hyperlink"/>
                <w:b w:val="0"/>
                <w:noProof/>
              </w:rPr>
              <w:t>§ 7 Sub-Bilanzkonten</w:t>
            </w:r>
            <w:r w:rsidRPr="000B4172">
              <w:rPr>
                <w:b w:val="0"/>
                <w:noProof/>
                <w:webHidden/>
              </w:rPr>
              <w:tab/>
            </w:r>
            <w:r w:rsidRPr="000B4172">
              <w:rPr>
                <w:b w:val="0"/>
                <w:noProof/>
                <w:webHidden/>
              </w:rPr>
              <w:fldChar w:fldCharType="begin"/>
            </w:r>
            <w:r w:rsidRPr="000B4172">
              <w:rPr>
                <w:b w:val="0"/>
                <w:noProof/>
                <w:webHidden/>
              </w:rPr>
              <w:instrText xml:space="preserve"> PAGEREF _Toc476824410 \h </w:instrText>
            </w:r>
            <w:r w:rsidRPr="000B4172">
              <w:rPr>
                <w:b w:val="0"/>
                <w:noProof/>
                <w:webHidden/>
              </w:rPr>
            </w:r>
            <w:r w:rsidRPr="000B4172">
              <w:rPr>
                <w:b w:val="0"/>
                <w:noProof/>
                <w:webHidden/>
              </w:rPr>
              <w:fldChar w:fldCharType="separate"/>
            </w:r>
            <w:r w:rsidRPr="000B4172">
              <w:rPr>
                <w:b w:val="0"/>
                <w:noProof/>
                <w:webHidden/>
              </w:rPr>
              <w:t>6</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11" w:history="1">
            <w:r w:rsidRPr="000B4172">
              <w:rPr>
                <w:rStyle w:val="Hyperlink"/>
                <w:b w:val="0"/>
                <w:noProof/>
              </w:rPr>
              <w:t>§ 8 Zuordnung von Punkten zu Bilanzkreisen</w:t>
            </w:r>
            <w:r w:rsidRPr="000B4172">
              <w:rPr>
                <w:b w:val="0"/>
                <w:noProof/>
                <w:webHidden/>
              </w:rPr>
              <w:tab/>
            </w:r>
            <w:r w:rsidRPr="000B4172">
              <w:rPr>
                <w:b w:val="0"/>
                <w:noProof/>
                <w:webHidden/>
              </w:rPr>
              <w:fldChar w:fldCharType="begin"/>
            </w:r>
            <w:r w:rsidRPr="000B4172">
              <w:rPr>
                <w:b w:val="0"/>
                <w:noProof/>
                <w:webHidden/>
              </w:rPr>
              <w:instrText xml:space="preserve"> PAGEREF _Toc476824411 \h </w:instrText>
            </w:r>
            <w:r w:rsidRPr="000B4172">
              <w:rPr>
                <w:b w:val="0"/>
                <w:noProof/>
                <w:webHidden/>
              </w:rPr>
            </w:r>
            <w:r w:rsidRPr="000B4172">
              <w:rPr>
                <w:b w:val="0"/>
                <w:noProof/>
                <w:webHidden/>
              </w:rPr>
              <w:fldChar w:fldCharType="separate"/>
            </w:r>
            <w:r w:rsidRPr="000B4172">
              <w:rPr>
                <w:b w:val="0"/>
                <w:noProof/>
                <w:webHidden/>
              </w:rPr>
              <w:t>7</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12" w:history="1">
            <w:r w:rsidRPr="000B4172">
              <w:rPr>
                <w:rStyle w:val="Hyperlink"/>
                <w:b w:val="0"/>
                <w:noProof/>
              </w:rPr>
              <w:t>§ 9 Übertragung von Gasmengen zwischen Bilanzkreisen</w:t>
            </w:r>
            <w:r w:rsidRPr="000B4172">
              <w:rPr>
                <w:b w:val="0"/>
                <w:noProof/>
                <w:webHidden/>
              </w:rPr>
              <w:tab/>
            </w:r>
            <w:r w:rsidRPr="000B4172">
              <w:rPr>
                <w:b w:val="0"/>
                <w:noProof/>
                <w:webHidden/>
              </w:rPr>
              <w:fldChar w:fldCharType="begin"/>
            </w:r>
            <w:r w:rsidRPr="000B4172">
              <w:rPr>
                <w:b w:val="0"/>
                <w:noProof/>
                <w:webHidden/>
              </w:rPr>
              <w:instrText xml:space="preserve"> PAGEREF _Toc476824412 \h </w:instrText>
            </w:r>
            <w:r w:rsidRPr="000B4172">
              <w:rPr>
                <w:b w:val="0"/>
                <w:noProof/>
                <w:webHidden/>
              </w:rPr>
            </w:r>
            <w:r w:rsidRPr="000B4172">
              <w:rPr>
                <w:b w:val="0"/>
                <w:noProof/>
                <w:webHidden/>
              </w:rPr>
              <w:fldChar w:fldCharType="separate"/>
            </w:r>
            <w:r w:rsidRPr="000B4172">
              <w:rPr>
                <w:b w:val="0"/>
                <w:noProof/>
                <w:webHidden/>
              </w:rPr>
              <w:t>7</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13" w:history="1">
            <w:r w:rsidRPr="000B4172">
              <w:rPr>
                <w:rStyle w:val="Hyperlink"/>
                <w:b w:val="0"/>
                <w:noProof/>
              </w:rPr>
              <w:t>§ 10 Nominierungen am VHP</w:t>
            </w:r>
            <w:r w:rsidRPr="000B4172">
              <w:rPr>
                <w:b w:val="0"/>
                <w:noProof/>
                <w:webHidden/>
              </w:rPr>
              <w:tab/>
            </w:r>
            <w:r w:rsidRPr="000B4172">
              <w:rPr>
                <w:b w:val="0"/>
                <w:noProof/>
                <w:webHidden/>
              </w:rPr>
              <w:fldChar w:fldCharType="begin"/>
            </w:r>
            <w:r w:rsidRPr="000B4172">
              <w:rPr>
                <w:b w:val="0"/>
                <w:noProof/>
                <w:webHidden/>
              </w:rPr>
              <w:instrText xml:space="preserve"> PAGEREF _Toc476824413 \h </w:instrText>
            </w:r>
            <w:r w:rsidRPr="000B4172">
              <w:rPr>
                <w:b w:val="0"/>
                <w:noProof/>
                <w:webHidden/>
              </w:rPr>
            </w:r>
            <w:r w:rsidRPr="000B4172">
              <w:rPr>
                <w:b w:val="0"/>
                <w:noProof/>
                <w:webHidden/>
              </w:rPr>
              <w:fldChar w:fldCharType="separate"/>
            </w:r>
            <w:r w:rsidRPr="000B4172">
              <w:rPr>
                <w:b w:val="0"/>
                <w:noProof/>
                <w:webHidden/>
              </w:rPr>
              <w:t>8</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14" w:history="1">
            <w:r w:rsidRPr="000B4172">
              <w:rPr>
                <w:rStyle w:val="Hyperlink"/>
                <w:b w:val="0"/>
                <w:noProof/>
              </w:rPr>
              <w:t>§ 11 Deklarationsmitteilung und Deklarationsclearing</w:t>
            </w:r>
            <w:r w:rsidRPr="000B4172">
              <w:rPr>
                <w:b w:val="0"/>
                <w:noProof/>
                <w:webHidden/>
              </w:rPr>
              <w:tab/>
            </w:r>
            <w:r w:rsidRPr="000B4172">
              <w:rPr>
                <w:b w:val="0"/>
                <w:noProof/>
                <w:webHidden/>
              </w:rPr>
              <w:fldChar w:fldCharType="begin"/>
            </w:r>
            <w:r w:rsidRPr="000B4172">
              <w:rPr>
                <w:b w:val="0"/>
                <w:noProof/>
                <w:webHidden/>
              </w:rPr>
              <w:instrText xml:space="preserve"> PAGEREF _Toc476824414 \h </w:instrText>
            </w:r>
            <w:r w:rsidRPr="000B4172">
              <w:rPr>
                <w:b w:val="0"/>
                <w:noProof/>
                <w:webHidden/>
              </w:rPr>
            </w:r>
            <w:r w:rsidRPr="000B4172">
              <w:rPr>
                <w:b w:val="0"/>
                <w:noProof/>
                <w:webHidden/>
              </w:rPr>
              <w:fldChar w:fldCharType="separate"/>
            </w:r>
            <w:r w:rsidRPr="000B4172">
              <w:rPr>
                <w:b w:val="0"/>
                <w:noProof/>
                <w:webHidden/>
              </w:rPr>
              <w:t>10</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15" w:history="1">
            <w:r w:rsidRPr="000B4172">
              <w:rPr>
                <w:rStyle w:val="Hyperlink"/>
                <w:b w:val="0"/>
                <w:noProof/>
              </w:rPr>
              <w:t>§ 12 Mengenzuordnung (Allokation)</w:t>
            </w:r>
            <w:r w:rsidRPr="000B4172">
              <w:rPr>
                <w:b w:val="0"/>
                <w:noProof/>
                <w:webHidden/>
              </w:rPr>
              <w:tab/>
            </w:r>
            <w:r w:rsidRPr="000B4172">
              <w:rPr>
                <w:b w:val="0"/>
                <w:noProof/>
                <w:webHidden/>
              </w:rPr>
              <w:fldChar w:fldCharType="begin"/>
            </w:r>
            <w:r w:rsidRPr="000B4172">
              <w:rPr>
                <w:b w:val="0"/>
                <w:noProof/>
                <w:webHidden/>
              </w:rPr>
              <w:instrText xml:space="preserve"> PAGEREF _Toc476824415 \h </w:instrText>
            </w:r>
            <w:r w:rsidRPr="000B4172">
              <w:rPr>
                <w:b w:val="0"/>
                <w:noProof/>
                <w:webHidden/>
              </w:rPr>
            </w:r>
            <w:r w:rsidRPr="000B4172">
              <w:rPr>
                <w:b w:val="0"/>
                <w:noProof/>
                <w:webHidden/>
              </w:rPr>
              <w:fldChar w:fldCharType="separate"/>
            </w:r>
            <w:r w:rsidRPr="000B4172">
              <w:rPr>
                <w:b w:val="0"/>
                <w:noProof/>
                <w:webHidden/>
              </w:rPr>
              <w:t>12</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16" w:history="1">
            <w:r w:rsidRPr="000B4172">
              <w:rPr>
                <w:rStyle w:val="Hyperlink"/>
                <w:b w:val="0"/>
                <w:noProof/>
              </w:rPr>
              <w:t>§ 13 Allokationsclearing</w:t>
            </w:r>
            <w:r w:rsidRPr="000B4172">
              <w:rPr>
                <w:b w:val="0"/>
                <w:noProof/>
                <w:webHidden/>
              </w:rPr>
              <w:tab/>
            </w:r>
            <w:r w:rsidRPr="000B4172">
              <w:rPr>
                <w:b w:val="0"/>
                <w:noProof/>
                <w:webHidden/>
              </w:rPr>
              <w:fldChar w:fldCharType="begin"/>
            </w:r>
            <w:r w:rsidRPr="000B4172">
              <w:rPr>
                <w:b w:val="0"/>
                <w:noProof/>
                <w:webHidden/>
              </w:rPr>
              <w:instrText xml:space="preserve"> PAGEREF _Toc476824416 \h </w:instrText>
            </w:r>
            <w:r w:rsidRPr="000B4172">
              <w:rPr>
                <w:b w:val="0"/>
                <w:noProof/>
                <w:webHidden/>
              </w:rPr>
            </w:r>
            <w:r w:rsidRPr="000B4172">
              <w:rPr>
                <w:b w:val="0"/>
                <w:noProof/>
                <w:webHidden/>
              </w:rPr>
              <w:fldChar w:fldCharType="separate"/>
            </w:r>
            <w:r w:rsidRPr="000B4172">
              <w:rPr>
                <w:b w:val="0"/>
                <w:noProof/>
                <w:webHidden/>
              </w:rPr>
              <w:t>13</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17" w:history="1">
            <w:r w:rsidRPr="000B4172">
              <w:rPr>
                <w:rStyle w:val="Hyperlink"/>
                <w:b w:val="0"/>
                <w:noProof/>
              </w:rPr>
              <w:t>§ 14 Ermittlung, Ausgleich und Abrechnung von Ausgleichsenergiemengen</w:t>
            </w:r>
            <w:r w:rsidRPr="000B4172">
              <w:rPr>
                <w:b w:val="0"/>
                <w:noProof/>
                <w:webHidden/>
              </w:rPr>
              <w:tab/>
            </w:r>
            <w:r w:rsidRPr="000B4172">
              <w:rPr>
                <w:b w:val="0"/>
                <w:noProof/>
                <w:webHidden/>
              </w:rPr>
              <w:fldChar w:fldCharType="begin"/>
            </w:r>
            <w:r w:rsidRPr="000B4172">
              <w:rPr>
                <w:b w:val="0"/>
                <w:noProof/>
                <w:webHidden/>
              </w:rPr>
              <w:instrText xml:space="preserve"> PAGEREF _Toc476824417 \h </w:instrText>
            </w:r>
            <w:r w:rsidRPr="000B4172">
              <w:rPr>
                <w:b w:val="0"/>
                <w:noProof/>
                <w:webHidden/>
              </w:rPr>
            </w:r>
            <w:r w:rsidRPr="000B4172">
              <w:rPr>
                <w:b w:val="0"/>
                <w:noProof/>
                <w:webHidden/>
              </w:rPr>
              <w:fldChar w:fldCharType="separate"/>
            </w:r>
            <w:r w:rsidRPr="000B4172">
              <w:rPr>
                <w:b w:val="0"/>
                <w:noProof/>
                <w:webHidden/>
              </w:rPr>
              <w:t>18</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18" w:history="1">
            <w:r w:rsidRPr="000B4172">
              <w:rPr>
                <w:rStyle w:val="Hyperlink"/>
                <w:b w:val="0"/>
                <w:noProof/>
              </w:rPr>
              <w:t>§ 15 Differenzmengenabrechnung</w:t>
            </w:r>
            <w:r w:rsidRPr="000B4172">
              <w:rPr>
                <w:b w:val="0"/>
                <w:noProof/>
                <w:webHidden/>
              </w:rPr>
              <w:tab/>
            </w:r>
            <w:r w:rsidRPr="000B4172">
              <w:rPr>
                <w:b w:val="0"/>
                <w:noProof/>
                <w:webHidden/>
              </w:rPr>
              <w:fldChar w:fldCharType="begin"/>
            </w:r>
            <w:r w:rsidRPr="000B4172">
              <w:rPr>
                <w:b w:val="0"/>
                <w:noProof/>
                <w:webHidden/>
              </w:rPr>
              <w:instrText xml:space="preserve"> PAGEREF _Toc476824418 \h </w:instrText>
            </w:r>
            <w:r w:rsidRPr="000B4172">
              <w:rPr>
                <w:b w:val="0"/>
                <w:noProof/>
                <w:webHidden/>
              </w:rPr>
            </w:r>
            <w:r w:rsidRPr="000B4172">
              <w:rPr>
                <w:b w:val="0"/>
                <w:noProof/>
                <w:webHidden/>
              </w:rPr>
              <w:fldChar w:fldCharType="separate"/>
            </w:r>
            <w:r w:rsidRPr="000B4172">
              <w:rPr>
                <w:b w:val="0"/>
                <w:noProof/>
                <w:webHidden/>
              </w:rPr>
              <w:t>20</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19" w:history="1">
            <w:r w:rsidRPr="000B4172">
              <w:rPr>
                <w:rStyle w:val="Hyperlink"/>
                <w:b w:val="0"/>
                <w:noProof/>
              </w:rPr>
              <w:t>§ 16 Bilanzierungsumlagen</w:t>
            </w:r>
            <w:r w:rsidRPr="000B4172">
              <w:rPr>
                <w:b w:val="0"/>
                <w:noProof/>
                <w:webHidden/>
              </w:rPr>
              <w:tab/>
            </w:r>
            <w:r w:rsidRPr="000B4172">
              <w:rPr>
                <w:b w:val="0"/>
                <w:noProof/>
                <w:webHidden/>
              </w:rPr>
              <w:fldChar w:fldCharType="begin"/>
            </w:r>
            <w:r w:rsidRPr="000B4172">
              <w:rPr>
                <w:b w:val="0"/>
                <w:noProof/>
                <w:webHidden/>
              </w:rPr>
              <w:instrText xml:space="preserve"> PAGEREF _Toc476824419 \h </w:instrText>
            </w:r>
            <w:r w:rsidRPr="000B4172">
              <w:rPr>
                <w:b w:val="0"/>
                <w:noProof/>
                <w:webHidden/>
              </w:rPr>
            </w:r>
            <w:r w:rsidRPr="000B4172">
              <w:rPr>
                <w:b w:val="0"/>
                <w:noProof/>
                <w:webHidden/>
              </w:rPr>
              <w:fldChar w:fldCharType="separate"/>
            </w:r>
            <w:r w:rsidRPr="000B4172">
              <w:rPr>
                <w:b w:val="0"/>
                <w:noProof/>
                <w:webHidden/>
              </w:rPr>
              <w:t>21</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20" w:history="1">
            <w:r w:rsidRPr="000B4172">
              <w:rPr>
                <w:rStyle w:val="Hyperlink"/>
                <w:b w:val="0"/>
                <w:noProof/>
              </w:rPr>
              <w:t>§ 17 Verbindung von Bilanzkreisen</w:t>
            </w:r>
            <w:r w:rsidRPr="000B4172">
              <w:rPr>
                <w:b w:val="0"/>
                <w:noProof/>
                <w:webHidden/>
              </w:rPr>
              <w:tab/>
            </w:r>
            <w:r w:rsidRPr="000B4172">
              <w:rPr>
                <w:b w:val="0"/>
                <w:noProof/>
                <w:webHidden/>
              </w:rPr>
              <w:fldChar w:fldCharType="begin"/>
            </w:r>
            <w:r w:rsidRPr="000B4172">
              <w:rPr>
                <w:b w:val="0"/>
                <w:noProof/>
                <w:webHidden/>
              </w:rPr>
              <w:instrText xml:space="preserve"> PAGEREF _Toc476824420 \h </w:instrText>
            </w:r>
            <w:r w:rsidRPr="000B4172">
              <w:rPr>
                <w:b w:val="0"/>
                <w:noProof/>
                <w:webHidden/>
              </w:rPr>
            </w:r>
            <w:r w:rsidRPr="000B4172">
              <w:rPr>
                <w:b w:val="0"/>
                <w:noProof/>
                <w:webHidden/>
              </w:rPr>
              <w:fldChar w:fldCharType="separate"/>
            </w:r>
            <w:r w:rsidRPr="000B4172">
              <w:rPr>
                <w:b w:val="0"/>
                <w:noProof/>
                <w:webHidden/>
              </w:rPr>
              <w:t>25</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21" w:history="1">
            <w:r w:rsidRPr="000B4172">
              <w:rPr>
                <w:rStyle w:val="Hyperlink"/>
                <w:b w:val="0"/>
                <w:noProof/>
              </w:rPr>
              <w:t>§ 18 Qualitätsübergreifende Bilanzierung und Konvertierung</w:t>
            </w:r>
            <w:r w:rsidRPr="000B4172">
              <w:rPr>
                <w:b w:val="0"/>
                <w:noProof/>
                <w:webHidden/>
              </w:rPr>
              <w:tab/>
            </w:r>
            <w:r w:rsidRPr="000B4172">
              <w:rPr>
                <w:b w:val="0"/>
                <w:noProof/>
                <w:webHidden/>
              </w:rPr>
              <w:fldChar w:fldCharType="begin"/>
            </w:r>
            <w:r w:rsidRPr="000B4172">
              <w:rPr>
                <w:b w:val="0"/>
                <w:noProof/>
                <w:webHidden/>
              </w:rPr>
              <w:instrText xml:space="preserve"> PAGEREF _Toc476824421 \h </w:instrText>
            </w:r>
            <w:r w:rsidRPr="000B4172">
              <w:rPr>
                <w:b w:val="0"/>
                <w:noProof/>
                <w:webHidden/>
              </w:rPr>
            </w:r>
            <w:r w:rsidRPr="000B4172">
              <w:rPr>
                <w:b w:val="0"/>
                <w:noProof/>
                <w:webHidden/>
              </w:rPr>
              <w:fldChar w:fldCharType="separate"/>
            </w:r>
            <w:r w:rsidRPr="000B4172">
              <w:rPr>
                <w:b w:val="0"/>
                <w:noProof/>
                <w:webHidden/>
              </w:rPr>
              <w:t>26</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22" w:history="1">
            <w:r w:rsidRPr="000B4172">
              <w:rPr>
                <w:rStyle w:val="Hyperlink"/>
                <w:b w:val="0"/>
                <w:noProof/>
              </w:rPr>
              <w:t>§ 19 Konvertierungsentgelt und Konvertierungsumlage</w:t>
            </w:r>
            <w:r w:rsidRPr="000B4172">
              <w:rPr>
                <w:b w:val="0"/>
                <w:noProof/>
                <w:webHidden/>
              </w:rPr>
              <w:tab/>
            </w:r>
            <w:r w:rsidRPr="000B4172">
              <w:rPr>
                <w:b w:val="0"/>
                <w:noProof/>
                <w:webHidden/>
              </w:rPr>
              <w:fldChar w:fldCharType="begin"/>
            </w:r>
            <w:r w:rsidRPr="000B4172">
              <w:rPr>
                <w:b w:val="0"/>
                <w:noProof/>
                <w:webHidden/>
              </w:rPr>
              <w:instrText xml:space="preserve"> PAGEREF _Toc476824422 \h </w:instrText>
            </w:r>
            <w:r w:rsidRPr="000B4172">
              <w:rPr>
                <w:b w:val="0"/>
                <w:noProof/>
                <w:webHidden/>
              </w:rPr>
            </w:r>
            <w:r w:rsidRPr="000B4172">
              <w:rPr>
                <w:b w:val="0"/>
                <w:noProof/>
                <w:webHidden/>
              </w:rPr>
              <w:fldChar w:fldCharType="separate"/>
            </w:r>
            <w:r w:rsidRPr="000B4172">
              <w:rPr>
                <w:b w:val="0"/>
                <w:noProof/>
                <w:webHidden/>
              </w:rPr>
              <w:t>26</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23" w:history="1">
            <w:r w:rsidRPr="000B4172">
              <w:rPr>
                <w:rStyle w:val="Hyperlink"/>
                <w:b w:val="0"/>
                <w:noProof/>
              </w:rPr>
              <w:t>§ 20 Ermittlung der abzurechnenden Konvertierungsmenge</w:t>
            </w:r>
            <w:r w:rsidRPr="000B4172">
              <w:rPr>
                <w:b w:val="0"/>
                <w:noProof/>
                <w:webHidden/>
              </w:rPr>
              <w:tab/>
            </w:r>
            <w:r w:rsidRPr="000B4172">
              <w:rPr>
                <w:b w:val="0"/>
                <w:noProof/>
                <w:webHidden/>
              </w:rPr>
              <w:fldChar w:fldCharType="begin"/>
            </w:r>
            <w:r w:rsidRPr="000B4172">
              <w:rPr>
                <w:b w:val="0"/>
                <w:noProof/>
                <w:webHidden/>
              </w:rPr>
              <w:instrText xml:space="preserve"> PAGEREF _Toc476824423 \h </w:instrText>
            </w:r>
            <w:r w:rsidRPr="000B4172">
              <w:rPr>
                <w:b w:val="0"/>
                <w:noProof/>
                <w:webHidden/>
              </w:rPr>
            </w:r>
            <w:r w:rsidRPr="000B4172">
              <w:rPr>
                <w:b w:val="0"/>
                <w:noProof/>
                <w:webHidden/>
              </w:rPr>
              <w:fldChar w:fldCharType="separate"/>
            </w:r>
            <w:r w:rsidRPr="000B4172">
              <w:rPr>
                <w:b w:val="0"/>
                <w:noProof/>
                <w:webHidden/>
              </w:rPr>
              <w:t>27</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24" w:history="1">
            <w:r w:rsidRPr="000B4172">
              <w:rPr>
                <w:rStyle w:val="Hyperlink"/>
                <w:b w:val="0"/>
                <w:noProof/>
              </w:rPr>
              <w:t>§ 21 Konvertierungsentgelt</w:t>
            </w:r>
            <w:r w:rsidRPr="000B4172">
              <w:rPr>
                <w:b w:val="0"/>
                <w:noProof/>
                <w:webHidden/>
              </w:rPr>
              <w:tab/>
            </w:r>
            <w:r w:rsidRPr="000B4172">
              <w:rPr>
                <w:b w:val="0"/>
                <w:noProof/>
                <w:webHidden/>
              </w:rPr>
              <w:fldChar w:fldCharType="begin"/>
            </w:r>
            <w:r w:rsidRPr="000B4172">
              <w:rPr>
                <w:b w:val="0"/>
                <w:noProof/>
                <w:webHidden/>
              </w:rPr>
              <w:instrText xml:space="preserve"> PAGEREF _Toc476824424 \h </w:instrText>
            </w:r>
            <w:r w:rsidRPr="000B4172">
              <w:rPr>
                <w:b w:val="0"/>
                <w:noProof/>
                <w:webHidden/>
              </w:rPr>
            </w:r>
            <w:r w:rsidRPr="000B4172">
              <w:rPr>
                <w:b w:val="0"/>
                <w:noProof/>
                <w:webHidden/>
              </w:rPr>
              <w:fldChar w:fldCharType="separate"/>
            </w:r>
            <w:r w:rsidRPr="000B4172">
              <w:rPr>
                <w:b w:val="0"/>
                <w:noProof/>
                <w:webHidden/>
              </w:rPr>
              <w:t>27</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25" w:history="1">
            <w:r w:rsidRPr="000B4172">
              <w:rPr>
                <w:rStyle w:val="Hyperlink"/>
                <w:b w:val="0"/>
                <w:noProof/>
              </w:rPr>
              <w:t>§ 22 Konvertierungsumlage</w:t>
            </w:r>
            <w:r w:rsidRPr="000B4172">
              <w:rPr>
                <w:b w:val="0"/>
                <w:noProof/>
                <w:webHidden/>
              </w:rPr>
              <w:tab/>
            </w:r>
            <w:r w:rsidRPr="000B4172">
              <w:rPr>
                <w:b w:val="0"/>
                <w:noProof/>
                <w:webHidden/>
              </w:rPr>
              <w:fldChar w:fldCharType="begin"/>
            </w:r>
            <w:r w:rsidRPr="000B4172">
              <w:rPr>
                <w:b w:val="0"/>
                <w:noProof/>
                <w:webHidden/>
              </w:rPr>
              <w:instrText xml:space="preserve"> PAGEREF _Toc476824425 \h </w:instrText>
            </w:r>
            <w:r w:rsidRPr="000B4172">
              <w:rPr>
                <w:b w:val="0"/>
                <w:noProof/>
                <w:webHidden/>
              </w:rPr>
            </w:r>
            <w:r w:rsidRPr="000B4172">
              <w:rPr>
                <w:b w:val="0"/>
                <w:noProof/>
                <w:webHidden/>
              </w:rPr>
              <w:fldChar w:fldCharType="separate"/>
            </w:r>
            <w:r w:rsidRPr="000B4172">
              <w:rPr>
                <w:b w:val="0"/>
                <w:noProof/>
                <w:webHidden/>
              </w:rPr>
              <w:t>27</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26" w:history="1">
            <w:r w:rsidRPr="000B4172">
              <w:rPr>
                <w:rStyle w:val="Hyperlink"/>
                <w:b w:val="0"/>
                <w:noProof/>
              </w:rPr>
              <w:t>§ 23 Geltungsrahmen für Konvertierungsentgelt und Konvertierungsumlage</w:t>
            </w:r>
            <w:r w:rsidRPr="000B4172">
              <w:rPr>
                <w:b w:val="0"/>
                <w:noProof/>
                <w:webHidden/>
              </w:rPr>
              <w:tab/>
            </w:r>
            <w:r w:rsidRPr="000B4172">
              <w:rPr>
                <w:b w:val="0"/>
                <w:noProof/>
                <w:webHidden/>
              </w:rPr>
              <w:fldChar w:fldCharType="begin"/>
            </w:r>
            <w:r w:rsidRPr="000B4172">
              <w:rPr>
                <w:b w:val="0"/>
                <w:noProof/>
                <w:webHidden/>
              </w:rPr>
              <w:instrText xml:space="preserve"> PAGEREF _Toc476824426 \h </w:instrText>
            </w:r>
            <w:r w:rsidRPr="000B4172">
              <w:rPr>
                <w:b w:val="0"/>
                <w:noProof/>
                <w:webHidden/>
              </w:rPr>
            </w:r>
            <w:r w:rsidRPr="000B4172">
              <w:rPr>
                <w:b w:val="0"/>
                <w:noProof/>
                <w:webHidden/>
              </w:rPr>
              <w:fldChar w:fldCharType="separate"/>
            </w:r>
            <w:r w:rsidRPr="000B4172">
              <w:rPr>
                <w:b w:val="0"/>
                <w:noProof/>
                <w:webHidden/>
              </w:rPr>
              <w:t>28</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27" w:history="1">
            <w:r w:rsidRPr="000B4172">
              <w:rPr>
                <w:rStyle w:val="Hyperlink"/>
                <w:b w:val="0"/>
                <w:noProof/>
              </w:rPr>
              <w:t>§ 24 Kosten-Erlös-Abgleich</w:t>
            </w:r>
            <w:r w:rsidRPr="000B4172">
              <w:rPr>
                <w:b w:val="0"/>
                <w:noProof/>
                <w:webHidden/>
              </w:rPr>
              <w:tab/>
            </w:r>
            <w:r w:rsidRPr="000B4172">
              <w:rPr>
                <w:b w:val="0"/>
                <w:noProof/>
                <w:webHidden/>
              </w:rPr>
              <w:fldChar w:fldCharType="begin"/>
            </w:r>
            <w:r w:rsidRPr="000B4172">
              <w:rPr>
                <w:b w:val="0"/>
                <w:noProof/>
                <w:webHidden/>
              </w:rPr>
              <w:instrText xml:space="preserve"> PAGEREF _Toc476824427 \h </w:instrText>
            </w:r>
            <w:r w:rsidRPr="000B4172">
              <w:rPr>
                <w:b w:val="0"/>
                <w:noProof/>
                <w:webHidden/>
              </w:rPr>
            </w:r>
            <w:r w:rsidRPr="000B4172">
              <w:rPr>
                <w:b w:val="0"/>
                <w:noProof/>
                <w:webHidden/>
              </w:rPr>
              <w:fldChar w:fldCharType="separate"/>
            </w:r>
            <w:r w:rsidRPr="000B4172">
              <w:rPr>
                <w:b w:val="0"/>
                <w:noProof/>
                <w:webHidden/>
              </w:rPr>
              <w:t>28</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28" w:history="1">
            <w:r w:rsidRPr="000B4172">
              <w:rPr>
                <w:rStyle w:val="Hyperlink"/>
                <w:b w:val="0"/>
                <w:noProof/>
              </w:rPr>
              <w:t>§ 25 Regelungen zu börslichen Produkten mit physischer Erfüllungsrestriktion</w:t>
            </w:r>
            <w:r w:rsidRPr="000B4172">
              <w:rPr>
                <w:b w:val="0"/>
                <w:noProof/>
                <w:webHidden/>
              </w:rPr>
              <w:tab/>
            </w:r>
            <w:r w:rsidRPr="000B4172">
              <w:rPr>
                <w:b w:val="0"/>
                <w:noProof/>
                <w:webHidden/>
              </w:rPr>
              <w:fldChar w:fldCharType="begin"/>
            </w:r>
            <w:r w:rsidRPr="000B4172">
              <w:rPr>
                <w:b w:val="0"/>
                <w:noProof/>
                <w:webHidden/>
              </w:rPr>
              <w:instrText xml:space="preserve"> PAGEREF _Toc476824428 \h </w:instrText>
            </w:r>
            <w:r w:rsidRPr="000B4172">
              <w:rPr>
                <w:b w:val="0"/>
                <w:noProof/>
                <w:webHidden/>
              </w:rPr>
            </w:r>
            <w:r w:rsidRPr="000B4172">
              <w:rPr>
                <w:b w:val="0"/>
                <w:noProof/>
                <w:webHidden/>
              </w:rPr>
              <w:fldChar w:fldCharType="separate"/>
            </w:r>
            <w:r w:rsidRPr="000B4172">
              <w:rPr>
                <w:b w:val="0"/>
                <w:noProof/>
                <w:webHidden/>
              </w:rPr>
              <w:t>30</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29" w:history="1">
            <w:r w:rsidRPr="000B4172">
              <w:rPr>
                <w:rStyle w:val="Hyperlink"/>
                <w:b w:val="0"/>
                <w:noProof/>
              </w:rPr>
              <w:t>§ 26 Verfügbarkeit der IT</w:t>
            </w:r>
            <w:r w:rsidRPr="000B4172">
              <w:rPr>
                <w:b w:val="0"/>
                <w:noProof/>
                <w:webHidden/>
              </w:rPr>
              <w:tab/>
            </w:r>
            <w:r w:rsidRPr="000B4172">
              <w:rPr>
                <w:b w:val="0"/>
                <w:noProof/>
                <w:webHidden/>
              </w:rPr>
              <w:fldChar w:fldCharType="begin"/>
            </w:r>
            <w:r w:rsidRPr="000B4172">
              <w:rPr>
                <w:b w:val="0"/>
                <w:noProof/>
                <w:webHidden/>
              </w:rPr>
              <w:instrText xml:space="preserve"> PAGEREF _Toc476824429 \h </w:instrText>
            </w:r>
            <w:r w:rsidRPr="000B4172">
              <w:rPr>
                <w:b w:val="0"/>
                <w:noProof/>
                <w:webHidden/>
              </w:rPr>
            </w:r>
            <w:r w:rsidRPr="000B4172">
              <w:rPr>
                <w:b w:val="0"/>
                <w:noProof/>
                <w:webHidden/>
              </w:rPr>
              <w:fldChar w:fldCharType="separate"/>
            </w:r>
            <w:r w:rsidRPr="000B4172">
              <w:rPr>
                <w:b w:val="0"/>
                <w:noProof/>
                <w:webHidden/>
              </w:rPr>
              <w:t>33</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30" w:history="1">
            <w:r w:rsidRPr="000B4172">
              <w:rPr>
                <w:rStyle w:val="Hyperlink"/>
                <w:b w:val="0"/>
                <w:noProof/>
              </w:rPr>
              <w:t>§ 27 Veröffentlichungs- und Informationspflichten des Marktgebietsverantwortlichen</w:t>
            </w:r>
            <w:r w:rsidRPr="000B4172">
              <w:rPr>
                <w:b w:val="0"/>
                <w:noProof/>
                <w:webHidden/>
              </w:rPr>
              <w:tab/>
            </w:r>
            <w:r w:rsidRPr="000B4172">
              <w:rPr>
                <w:b w:val="0"/>
                <w:noProof/>
                <w:webHidden/>
              </w:rPr>
              <w:fldChar w:fldCharType="begin"/>
            </w:r>
            <w:r w:rsidRPr="000B4172">
              <w:rPr>
                <w:b w:val="0"/>
                <w:noProof/>
                <w:webHidden/>
              </w:rPr>
              <w:instrText xml:space="preserve"> PAGEREF _Toc476824430 \h </w:instrText>
            </w:r>
            <w:r w:rsidRPr="000B4172">
              <w:rPr>
                <w:b w:val="0"/>
                <w:noProof/>
                <w:webHidden/>
              </w:rPr>
            </w:r>
            <w:r w:rsidRPr="000B4172">
              <w:rPr>
                <w:b w:val="0"/>
                <w:noProof/>
                <w:webHidden/>
              </w:rPr>
              <w:fldChar w:fldCharType="separate"/>
            </w:r>
            <w:r w:rsidRPr="000B4172">
              <w:rPr>
                <w:b w:val="0"/>
                <w:noProof/>
                <w:webHidden/>
              </w:rPr>
              <w:t>33</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31" w:history="1">
            <w:r w:rsidRPr="000B4172">
              <w:rPr>
                <w:rStyle w:val="Hyperlink"/>
                <w:b w:val="0"/>
                <w:noProof/>
              </w:rPr>
              <w:t>§ 28 Sicherheitsleistung</w:t>
            </w:r>
            <w:r w:rsidRPr="000B4172">
              <w:rPr>
                <w:b w:val="0"/>
                <w:noProof/>
                <w:webHidden/>
              </w:rPr>
              <w:tab/>
            </w:r>
            <w:r w:rsidRPr="000B4172">
              <w:rPr>
                <w:b w:val="0"/>
                <w:noProof/>
                <w:webHidden/>
              </w:rPr>
              <w:fldChar w:fldCharType="begin"/>
            </w:r>
            <w:r w:rsidRPr="000B4172">
              <w:rPr>
                <w:b w:val="0"/>
                <w:noProof/>
                <w:webHidden/>
              </w:rPr>
              <w:instrText xml:space="preserve"> PAGEREF _Toc476824431 \h </w:instrText>
            </w:r>
            <w:r w:rsidRPr="000B4172">
              <w:rPr>
                <w:b w:val="0"/>
                <w:noProof/>
                <w:webHidden/>
              </w:rPr>
            </w:r>
            <w:r w:rsidRPr="000B4172">
              <w:rPr>
                <w:b w:val="0"/>
                <w:noProof/>
                <w:webHidden/>
              </w:rPr>
              <w:fldChar w:fldCharType="separate"/>
            </w:r>
            <w:r w:rsidRPr="000B4172">
              <w:rPr>
                <w:b w:val="0"/>
                <w:noProof/>
                <w:webHidden/>
              </w:rPr>
              <w:t>36</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32" w:history="1">
            <w:r w:rsidRPr="000B4172">
              <w:rPr>
                <w:rStyle w:val="Hyperlink"/>
                <w:b w:val="0"/>
                <w:noProof/>
              </w:rPr>
              <w:t>§ 29 Vorauszahlung</w:t>
            </w:r>
            <w:r w:rsidRPr="000B4172">
              <w:rPr>
                <w:b w:val="0"/>
                <w:noProof/>
                <w:webHidden/>
              </w:rPr>
              <w:tab/>
            </w:r>
            <w:r w:rsidRPr="000B4172">
              <w:rPr>
                <w:b w:val="0"/>
                <w:noProof/>
                <w:webHidden/>
              </w:rPr>
              <w:fldChar w:fldCharType="begin"/>
            </w:r>
            <w:r w:rsidRPr="000B4172">
              <w:rPr>
                <w:b w:val="0"/>
                <w:noProof/>
                <w:webHidden/>
              </w:rPr>
              <w:instrText xml:space="preserve"> PAGEREF _Toc476824432 \h </w:instrText>
            </w:r>
            <w:r w:rsidRPr="000B4172">
              <w:rPr>
                <w:b w:val="0"/>
                <w:noProof/>
                <w:webHidden/>
              </w:rPr>
            </w:r>
            <w:r w:rsidRPr="000B4172">
              <w:rPr>
                <w:b w:val="0"/>
                <w:noProof/>
                <w:webHidden/>
              </w:rPr>
              <w:fldChar w:fldCharType="separate"/>
            </w:r>
            <w:r w:rsidRPr="000B4172">
              <w:rPr>
                <w:b w:val="0"/>
                <w:noProof/>
                <w:webHidden/>
              </w:rPr>
              <w:t>39</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33" w:history="1">
            <w:r w:rsidRPr="000B4172">
              <w:rPr>
                <w:rStyle w:val="Hyperlink"/>
                <w:b w:val="0"/>
                <w:noProof/>
              </w:rPr>
              <w:t>§ 30 Änderungen des Vertrages</w:t>
            </w:r>
            <w:r w:rsidRPr="000B4172">
              <w:rPr>
                <w:b w:val="0"/>
                <w:noProof/>
                <w:webHidden/>
              </w:rPr>
              <w:tab/>
            </w:r>
            <w:r w:rsidRPr="000B4172">
              <w:rPr>
                <w:b w:val="0"/>
                <w:noProof/>
                <w:webHidden/>
              </w:rPr>
              <w:fldChar w:fldCharType="begin"/>
            </w:r>
            <w:r w:rsidRPr="000B4172">
              <w:rPr>
                <w:b w:val="0"/>
                <w:noProof/>
                <w:webHidden/>
              </w:rPr>
              <w:instrText xml:space="preserve"> PAGEREF _Toc476824433 \h </w:instrText>
            </w:r>
            <w:r w:rsidRPr="000B4172">
              <w:rPr>
                <w:b w:val="0"/>
                <w:noProof/>
                <w:webHidden/>
              </w:rPr>
            </w:r>
            <w:r w:rsidRPr="000B4172">
              <w:rPr>
                <w:b w:val="0"/>
                <w:noProof/>
                <w:webHidden/>
              </w:rPr>
              <w:fldChar w:fldCharType="separate"/>
            </w:r>
            <w:r w:rsidRPr="000B4172">
              <w:rPr>
                <w:b w:val="0"/>
                <w:noProof/>
                <w:webHidden/>
              </w:rPr>
              <w:t>41</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34" w:history="1">
            <w:r w:rsidRPr="000B4172">
              <w:rPr>
                <w:rStyle w:val="Hyperlink"/>
                <w:b w:val="0"/>
                <w:noProof/>
              </w:rPr>
              <w:t>§ 31 Änderungen der Entgelte</w:t>
            </w:r>
            <w:r w:rsidRPr="000B4172">
              <w:rPr>
                <w:b w:val="0"/>
                <w:noProof/>
                <w:webHidden/>
              </w:rPr>
              <w:tab/>
            </w:r>
            <w:r w:rsidRPr="000B4172">
              <w:rPr>
                <w:b w:val="0"/>
                <w:noProof/>
                <w:webHidden/>
              </w:rPr>
              <w:fldChar w:fldCharType="begin"/>
            </w:r>
            <w:r w:rsidRPr="000B4172">
              <w:rPr>
                <w:b w:val="0"/>
                <w:noProof/>
                <w:webHidden/>
              </w:rPr>
              <w:instrText xml:space="preserve"> PAGEREF _Toc476824434 \h </w:instrText>
            </w:r>
            <w:r w:rsidRPr="000B4172">
              <w:rPr>
                <w:b w:val="0"/>
                <w:noProof/>
                <w:webHidden/>
              </w:rPr>
            </w:r>
            <w:r w:rsidRPr="000B4172">
              <w:rPr>
                <w:b w:val="0"/>
                <w:noProof/>
                <w:webHidden/>
              </w:rPr>
              <w:fldChar w:fldCharType="separate"/>
            </w:r>
            <w:r w:rsidRPr="000B4172">
              <w:rPr>
                <w:b w:val="0"/>
                <w:noProof/>
                <w:webHidden/>
              </w:rPr>
              <w:t>41</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35" w:history="1">
            <w:r w:rsidRPr="000B4172">
              <w:rPr>
                <w:rStyle w:val="Hyperlink"/>
                <w:b w:val="0"/>
                <w:noProof/>
              </w:rPr>
              <w:t>§ 32 Rechnungsstellung und Zahlung</w:t>
            </w:r>
            <w:r w:rsidRPr="000B4172">
              <w:rPr>
                <w:b w:val="0"/>
                <w:noProof/>
                <w:webHidden/>
              </w:rPr>
              <w:tab/>
            </w:r>
            <w:r w:rsidRPr="000B4172">
              <w:rPr>
                <w:b w:val="0"/>
                <w:noProof/>
                <w:webHidden/>
              </w:rPr>
              <w:fldChar w:fldCharType="begin"/>
            </w:r>
            <w:r w:rsidRPr="000B4172">
              <w:rPr>
                <w:b w:val="0"/>
                <w:noProof/>
                <w:webHidden/>
              </w:rPr>
              <w:instrText xml:space="preserve"> PAGEREF _Toc476824435 \h </w:instrText>
            </w:r>
            <w:r w:rsidRPr="000B4172">
              <w:rPr>
                <w:b w:val="0"/>
                <w:noProof/>
                <w:webHidden/>
              </w:rPr>
            </w:r>
            <w:r w:rsidRPr="000B4172">
              <w:rPr>
                <w:b w:val="0"/>
                <w:noProof/>
                <w:webHidden/>
              </w:rPr>
              <w:fldChar w:fldCharType="separate"/>
            </w:r>
            <w:r w:rsidRPr="000B4172">
              <w:rPr>
                <w:b w:val="0"/>
                <w:noProof/>
                <w:webHidden/>
              </w:rPr>
              <w:t>42</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36" w:history="1">
            <w:r w:rsidRPr="000B4172">
              <w:rPr>
                <w:rStyle w:val="Hyperlink"/>
                <w:b w:val="0"/>
                <w:noProof/>
              </w:rPr>
              <w:t>§ 33 Steuern</w:t>
            </w:r>
            <w:r w:rsidRPr="000B4172">
              <w:rPr>
                <w:b w:val="0"/>
                <w:noProof/>
                <w:webHidden/>
              </w:rPr>
              <w:tab/>
            </w:r>
            <w:r w:rsidRPr="000B4172">
              <w:rPr>
                <w:b w:val="0"/>
                <w:noProof/>
                <w:webHidden/>
              </w:rPr>
              <w:fldChar w:fldCharType="begin"/>
            </w:r>
            <w:r w:rsidRPr="000B4172">
              <w:rPr>
                <w:b w:val="0"/>
                <w:noProof/>
                <w:webHidden/>
              </w:rPr>
              <w:instrText xml:space="preserve"> PAGEREF _Toc476824436 \h </w:instrText>
            </w:r>
            <w:r w:rsidRPr="000B4172">
              <w:rPr>
                <w:b w:val="0"/>
                <w:noProof/>
                <w:webHidden/>
              </w:rPr>
            </w:r>
            <w:r w:rsidRPr="000B4172">
              <w:rPr>
                <w:b w:val="0"/>
                <w:noProof/>
                <w:webHidden/>
              </w:rPr>
              <w:fldChar w:fldCharType="separate"/>
            </w:r>
            <w:r w:rsidRPr="000B4172">
              <w:rPr>
                <w:b w:val="0"/>
                <w:noProof/>
                <w:webHidden/>
              </w:rPr>
              <w:t>43</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37" w:history="1">
            <w:r w:rsidRPr="000B4172">
              <w:rPr>
                <w:rStyle w:val="Hyperlink"/>
                <w:b w:val="0"/>
                <w:noProof/>
              </w:rPr>
              <w:t>§ 34 Höhere Gewalt</w:t>
            </w:r>
            <w:r w:rsidRPr="000B4172">
              <w:rPr>
                <w:b w:val="0"/>
                <w:noProof/>
                <w:webHidden/>
              </w:rPr>
              <w:tab/>
            </w:r>
            <w:r w:rsidRPr="000B4172">
              <w:rPr>
                <w:b w:val="0"/>
                <w:noProof/>
                <w:webHidden/>
              </w:rPr>
              <w:fldChar w:fldCharType="begin"/>
            </w:r>
            <w:r w:rsidRPr="000B4172">
              <w:rPr>
                <w:b w:val="0"/>
                <w:noProof/>
                <w:webHidden/>
              </w:rPr>
              <w:instrText xml:space="preserve"> PAGEREF _Toc476824437 \h </w:instrText>
            </w:r>
            <w:r w:rsidRPr="000B4172">
              <w:rPr>
                <w:b w:val="0"/>
                <w:noProof/>
                <w:webHidden/>
              </w:rPr>
            </w:r>
            <w:r w:rsidRPr="000B4172">
              <w:rPr>
                <w:b w:val="0"/>
                <w:noProof/>
                <w:webHidden/>
              </w:rPr>
              <w:fldChar w:fldCharType="separate"/>
            </w:r>
            <w:r w:rsidRPr="000B4172">
              <w:rPr>
                <w:b w:val="0"/>
                <w:noProof/>
                <w:webHidden/>
              </w:rPr>
              <w:t>44</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38" w:history="1">
            <w:r w:rsidRPr="000B4172">
              <w:rPr>
                <w:rStyle w:val="Hyperlink"/>
                <w:b w:val="0"/>
                <w:noProof/>
              </w:rPr>
              <w:t>§ 35 Haftung</w:t>
            </w:r>
            <w:r w:rsidRPr="000B4172">
              <w:rPr>
                <w:b w:val="0"/>
                <w:noProof/>
                <w:webHidden/>
              </w:rPr>
              <w:tab/>
            </w:r>
            <w:r w:rsidRPr="000B4172">
              <w:rPr>
                <w:b w:val="0"/>
                <w:noProof/>
                <w:webHidden/>
              </w:rPr>
              <w:fldChar w:fldCharType="begin"/>
            </w:r>
            <w:r w:rsidRPr="000B4172">
              <w:rPr>
                <w:b w:val="0"/>
                <w:noProof/>
                <w:webHidden/>
              </w:rPr>
              <w:instrText xml:space="preserve"> PAGEREF _Toc476824438 \h </w:instrText>
            </w:r>
            <w:r w:rsidRPr="000B4172">
              <w:rPr>
                <w:b w:val="0"/>
                <w:noProof/>
                <w:webHidden/>
              </w:rPr>
            </w:r>
            <w:r w:rsidRPr="000B4172">
              <w:rPr>
                <w:b w:val="0"/>
                <w:noProof/>
                <w:webHidden/>
              </w:rPr>
              <w:fldChar w:fldCharType="separate"/>
            </w:r>
            <w:r w:rsidRPr="000B4172">
              <w:rPr>
                <w:b w:val="0"/>
                <w:noProof/>
                <w:webHidden/>
              </w:rPr>
              <w:t>45</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39" w:history="1">
            <w:r w:rsidRPr="000B4172">
              <w:rPr>
                <w:rStyle w:val="Hyperlink"/>
                <w:b w:val="0"/>
                <w:noProof/>
              </w:rPr>
              <w:t>§ 36 Laufzeit</w:t>
            </w:r>
            <w:r w:rsidRPr="000B4172">
              <w:rPr>
                <w:b w:val="0"/>
                <w:noProof/>
                <w:webHidden/>
              </w:rPr>
              <w:tab/>
            </w:r>
            <w:r w:rsidRPr="000B4172">
              <w:rPr>
                <w:b w:val="0"/>
                <w:noProof/>
                <w:webHidden/>
              </w:rPr>
              <w:fldChar w:fldCharType="begin"/>
            </w:r>
            <w:r w:rsidRPr="000B4172">
              <w:rPr>
                <w:b w:val="0"/>
                <w:noProof/>
                <w:webHidden/>
              </w:rPr>
              <w:instrText xml:space="preserve"> PAGEREF _Toc476824439 \h </w:instrText>
            </w:r>
            <w:r w:rsidRPr="000B4172">
              <w:rPr>
                <w:b w:val="0"/>
                <w:noProof/>
                <w:webHidden/>
              </w:rPr>
            </w:r>
            <w:r w:rsidRPr="000B4172">
              <w:rPr>
                <w:b w:val="0"/>
                <w:noProof/>
                <w:webHidden/>
              </w:rPr>
              <w:fldChar w:fldCharType="separate"/>
            </w:r>
            <w:r w:rsidRPr="000B4172">
              <w:rPr>
                <w:b w:val="0"/>
                <w:noProof/>
                <w:webHidden/>
              </w:rPr>
              <w:t>46</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40" w:history="1">
            <w:r w:rsidRPr="000B4172">
              <w:rPr>
                <w:rStyle w:val="Hyperlink"/>
                <w:b w:val="0"/>
                <w:noProof/>
              </w:rPr>
              <w:t>§ 37 Leistungsaussetzung und Kündigung</w:t>
            </w:r>
            <w:r w:rsidRPr="000B4172">
              <w:rPr>
                <w:b w:val="0"/>
                <w:noProof/>
                <w:webHidden/>
              </w:rPr>
              <w:tab/>
            </w:r>
            <w:r w:rsidRPr="000B4172">
              <w:rPr>
                <w:b w:val="0"/>
                <w:noProof/>
                <w:webHidden/>
              </w:rPr>
              <w:fldChar w:fldCharType="begin"/>
            </w:r>
            <w:r w:rsidRPr="000B4172">
              <w:rPr>
                <w:b w:val="0"/>
                <w:noProof/>
                <w:webHidden/>
              </w:rPr>
              <w:instrText xml:space="preserve"> PAGEREF _Toc476824440 \h </w:instrText>
            </w:r>
            <w:r w:rsidRPr="000B4172">
              <w:rPr>
                <w:b w:val="0"/>
                <w:noProof/>
                <w:webHidden/>
              </w:rPr>
            </w:r>
            <w:r w:rsidRPr="000B4172">
              <w:rPr>
                <w:b w:val="0"/>
                <w:noProof/>
                <w:webHidden/>
              </w:rPr>
              <w:fldChar w:fldCharType="separate"/>
            </w:r>
            <w:r w:rsidRPr="000B4172">
              <w:rPr>
                <w:b w:val="0"/>
                <w:noProof/>
                <w:webHidden/>
              </w:rPr>
              <w:t>46</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41" w:history="1">
            <w:r w:rsidRPr="000B4172">
              <w:rPr>
                <w:rStyle w:val="Hyperlink"/>
                <w:b w:val="0"/>
                <w:noProof/>
              </w:rPr>
              <w:t>§ 38 Datenweitergabe und Datenverarbeitung</w:t>
            </w:r>
            <w:r w:rsidRPr="000B4172">
              <w:rPr>
                <w:b w:val="0"/>
                <w:noProof/>
                <w:webHidden/>
              </w:rPr>
              <w:tab/>
            </w:r>
            <w:r w:rsidRPr="000B4172">
              <w:rPr>
                <w:b w:val="0"/>
                <w:noProof/>
                <w:webHidden/>
              </w:rPr>
              <w:fldChar w:fldCharType="begin"/>
            </w:r>
            <w:r w:rsidRPr="000B4172">
              <w:rPr>
                <w:b w:val="0"/>
                <w:noProof/>
                <w:webHidden/>
              </w:rPr>
              <w:instrText xml:space="preserve"> PAGEREF _Toc476824441 \h </w:instrText>
            </w:r>
            <w:r w:rsidRPr="000B4172">
              <w:rPr>
                <w:b w:val="0"/>
                <w:noProof/>
                <w:webHidden/>
              </w:rPr>
            </w:r>
            <w:r w:rsidRPr="000B4172">
              <w:rPr>
                <w:b w:val="0"/>
                <w:noProof/>
                <w:webHidden/>
              </w:rPr>
              <w:fldChar w:fldCharType="separate"/>
            </w:r>
            <w:r w:rsidRPr="000B4172">
              <w:rPr>
                <w:b w:val="0"/>
                <w:noProof/>
                <w:webHidden/>
              </w:rPr>
              <w:t>47</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42" w:history="1">
            <w:r w:rsidRPr="000B4172">
              <w:rPr>
                <w:rStyle w:val="Hyperlink"/>
                <w:b w:val="0"/>
                <w:noProof/>
              </w:rPr>
              <w:t>§ 39 Vertraulichkeit</w:t>
            </w:r>
            <w:r w:rsidRPr="000B4172">
              <w:rPr>
                <w:b w:val="0"/>
                <w:noProof/>
                <w:webHidden/>
              </w:rPr>
              <w:tab/>
            </w:r>
            <w:r w:rsidRPr="000B4172">
              <w:rPr>
                <w:b w:val="0"/>
                <w:noProof/>
                <w:webHidden/>
              </w:rPr>
              <w:fldChar w:fldCharType="begin"/>
            </w:r>
            <w:r w:rsidRPr="000B4172">
              <w:rPr>
                <w:b w:val="0"/>
                <w:noProof/>
                <w:webHidden/>
              </w:rPr>
              <w:instrText xml:space="preserve"> PAGEREF _Toc476824442 \h </w:instrText>
            </w:r>
            <w:r w:rsidRPr="000B4172">
              <w:rPr>
                <w:b w:val="0"/>
                <w:noProof/>
                <w:webHidden/>
              </w:rPr>
            </w:r>
            <w:r w:rsidRPr="000B4172">
              <w:rPr>
                <w:b w:val="0"/>
                <w:noProof/>
                <w:webHidden/>
              </w:rPr>
              <w:fldChar w:fldCharType="separate"/>
            </w:r>
            <w:r w:rsidRPr="000B4172">
              <w:rPr>
                <w:b w:val="0"/>
                <w:noProof/>
                <w:webHidden/>
              </w:rPr>
              <w:t>47</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43" w:history="1">
            <w:r w:rsidRPr="000B4172">
              <w:rPr>
                <w:rStyle w:val="Hyperlink"/>
                <w:b w:val="0"/>
                <w:noProof/>
              </w:rPr>
              <w:t>§ 40 Wirtschaftlichkeitsklausel</w:t>
            </w:r>
            <w:r w:rsidRPr="000B4172">
              <w:rPr>
                <w:b w:val="0"/>
                <w:noProof/>
                <w:webHidden/>
              </w:rPr>
              <w:tab/>
            </w:r>
            <w:r w:rsidRPr="000B4172">
              <w:rPr>
                <w:b w:val="0"/>
                <w:noProof/>
                <w:webHidden/>
              </w:rPr>
              <w:fldChar w:fldCharType="begin"/>
            </w:r>
            <w:r w:rsidRPr="000B4172">
              <w:rPr>
                <w:b w:val="0"/>
                <w:noProof/>
                <w:webHidden/>
              </w:rPr>
              <w:instrText xml:space="preserve"> PAGEREF _Toc476824443 \h </w:instrText>
            </w:r>
            <w:r w:rsidRPr="000B4172">
              <w:rPr>
                <w:b w:val="0"/>
                <w:noProof/>
                <w:webHidden/>
              </w:rPr>
            </w:r>
            <w:r w:rsidRPr="000B4172">
              <w:rPr>
                <w:b w:val="0"/>
                <w:noProof/>
                <w:webHidden/>
              </w:rPr>
              <w:fldChar w:fldCharType="separate"/>
            </w:r>
            <w:r w:rsidRPr="000B4172">
              <w:rPr>
                <w:b w:val="0"/>
                <w:noProof/>
                <w:webHidden/>
              </w:rPr>
              <w:t>48</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44" w:history="1">
            <w:r w:rsidRPr="000B4172">
              <w:rPr>
                <w:rStyle w:val="Hyperlink"/>
                <w:b w:val="0"/>
                <w:noProof/>
              </w:rPr>
              <w:t>§ 41 Rechtsnachfolge</w:t>
            </w:r>
            <w:r w:rsidRPr="000B4172">
              <w:rPr>
                <w:b w:val="0"/>
                <w:noProof/>
                <w:webHidden/>
              </w:rPr>
              <w:tab/>
            </w:r>
            <w:r w:rsidRPr="000B4172">
              <w:rPr>
                <w:b w:val="0"/>
                <w:noProof/>
                <w:webHidden/>
              </w:rPr>
              <w:fldChar w:fldCharType="begin"/>
            </w:r>
            <w:r w:rsidRPr="000B4172">
              <w:rPr>
                <w:b w:val="0"/>
                <w:noProof/>
                <w:webHidden/>
              </w:rPr>
              <w:instrText xml:space="preserve"> PAGEREF _Toc476824444 \h </w:instrText>
            </w:r>
            <w:r w:rsidRPr="000B4172">
              <w:rPr>
                <w:b w:val="0"/>
                <w:noProof/>
                <w:webHidden/>
              </w:rPr>
            </w:r>
            <w:r w:rsidRPr="000B4172">
              <w:rPr>
                <w:b w:val="0"/>
                <w:noProof/>
                <w:webHidden/>
              </w:rPr>
              <w:fldChar w:fldCharType="separate"/>
            </w:r>
            <w:r w:rsidRPr="000B4172">
              <w:rPr>
                <w:b w:val="0"/>
                <w:noProof/>
                <w:webHidden/>
              </w:rPr>
              <w:t>48</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45" w:history="1">
            <w:r w:rsidRPr="000B4172">
              <w:rPr>
                <w:rStyle w:val="Hyperlink"/>
                <w:b w:val="0"/>
                <w:noProof/>
              </w:rPr>
              <w:t>§ 42 Ansprechpartner</w:t>
            </w:r>
            <w:r w:rsidRPr="000B4172">
              <w:rPr>
                <w:b w:val="0"/>
                <w:noProof/>
                <w:webHidden/>
              </w:rPr>
              <w:tab/>
            </w:r>
            <w:r w:rsidRPr="000B4172">
              <w:rPr>
                <w:b w:val="0"/>
                <w:noProof/>
                <w:webHidden/>
              </w:rPr>
              <w:fldChar w:fldCharType="begin"/>
            </w:r>
            <w:r w:rsidRPr="000B4172">
              <w:rPr>
                <w:b w:val="0"/>
                <w:noProof/>
                <w:webHidden/>
              </w:rPr>
              <w:instrText xml:space="preserve"> PAGEREF _Toc476824445 \h </w:instrText>
            </w:r>
            <w:r w:rsidRPr="000B4172">
              <w:rPr>
                <w:b w:val="0"/>
                <w:noProof/>
                <w:webHidden/>
              </w:rPr>
            </w:r>
            <w:r w:rsidRPr="000B4172">
              <w:rPr>
                <w:b w:val="0"/>
                <w:noProof/>
                <w:webHidden/>
              </w:rPr>
              <w:fldChar w:fldCharType="separate"/>
            </w:r>
            <w:r w:rsidRPr="000B4172">
              <w:rPr>
                <w:b w:val="0"/>
                <w:noProof/>
                <w:webHidden/>
              </w:rPr>
              <w:t>48</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46" w:history="1">
            <w:r w:rsidRPr="000B4172">
              <w:rPr>
                <w:rStyle w:val="Hyperlink"/>
                <w:b w:val="0"/>
                <w:noProof/>
              </w:rPr>
              <w:t>§ 43 Salvatorische Klausel</w:t>
            </w:r>
            <w:r w:rsidRPr="000B4172">
              <w:rPr>
                <w:b w:val="0"/>
                <w:noProof/>
                <w:webHidden/>
              </w:rPr>
              <w:tab/>
            </w:r>
            <w:r w:rsidRPr="000B4172">
              <w:rPr>
                <w:b w:val="0"/>
                <w:noProof/>
                <w:webHidden/>
              </w:rPr>
              <w:fldChar w:fldCharType="begin"/>
            </w:r>
            <w:r w:rsidRPr="000B4172">
              <w:rPr>
                <w:b w:val="0"/>
                <w:noProof/>
                <w:webHidden/>
              </w:rPr>
              <w:instrText xml:space="preserve"> PAGEREF _Toc476824446 \h </w:instrText>
            </w:r>
            <w:r w:rsidRPr="000B4172">
              <w:rPr>
                <w:b w:val="0"/>
                <w:noProof/>
                <w:webHidden/>
              </w:rPr>
            </w:r>
            <w:r w:rsidRPr="000B4172">
              <w:rPr>
                <w:b w:val="0"/>
                <w:noProof/>
                <w:webHidden/>
              </w:rPr>
              <w:fldChar w:fldCharType="separate"/>
            </w:r>
            <w:r w:rsidRPr="000B4172">
              <w:rPr>
                <w:b w:val="0"/>
                <w:noProof/>
                <w:webHidden/>
              </w:rPr>
              <w:t>49</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47" w:history="1">
            <w:r w:rsidRPr="000B4172">
              <w:rPr>
                <w:rStyle w:val="Hyperlink"/>
                <w:b w:val="0"/>
                <w:noProof/>
              </w:rPr>
              <w:t>§ 44 Gerichtsstand und anwendbares Recht</w:t>
            </w:r>
            <w:r w:rsidRPr="000B4172">
              <w:rPr>
                <w:b w:val="0"/>
                <w:noProof/>
                <w:webHidden/>
              </w:rPr>
              <w:tab/>
            </w:r>
            <w:r w:rsidRPr="000B4172">
              <w:rPr>
                <w:b w:val="0"/>
                <w:noProof/>
                <w:webHidden/>
              </w:rPr>
              <w:fldChar w:fldCharType="begin"/>
            </w:r>
            <w:r w:rsidRPr="000B4172">
              <w:rPr>
                <w:b w:val="0"/>
                <w:noProof/>
                <w:webHidden/>
              </w:rPr>
              <w:instrText xml:space="preserve"> PAGEREF _Toc476824447 \h </w:instrText>
            </w:r>
            <w:r w:rsidRPr="000B4172">
              <w:rPr>
                <w:b w:val="0"/>
                <w:noProof/>
                <w:webHidden/>
              </w:rPr>
            </w:r>
            <w:r w:rsidRPr="000B4172">
              <w:rPr>
                <w:b w:val="0"/>
                <w:noProof/>
                <w:webHidden/>
              </w:rPr>
              <w:fldChar w:fldCharType="separate"/>
            </w:r>
            <w:r w:rsidRPr="000B4172">
              <w:rPr>
                <w:b w:val="0"/>
                <w:noProof/>
                <w:webHidden/>
              </w:rPr>
              <w:t>49</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48" w:history="1">
            <w:r w:rsidRPr="000B4172">
              <w:rPr>
                <w:rStyle w:val="Hyperlink"/>
                <w:b w:val="0"/>
                <w:noProof/>
              </w:rPr>
              <w:t>§ 45 Anlagenverzeichnis</w:t>
            </w:r>
            <w:r w:rsidRPr="000B4172">
              <w:rPr>
                <w:b w:val="0"/>
                <w:noProof/>
                <w:webHidden/>
              </w:rPr>
              <w:tab/>
            </w:r>
            <w:r w:rsidRPr="000B4172">
              <w:rPr>
                <w:b w:val="0"/>
                <w:noProof/>
                <w:webHidden/>
              </w:rPr>
              <w:fldChar w:fldCharType="begin"/>
            </w:r>
            <w:r w:rsidRPr="000B4172">
              <w:rPr>
                <w:b w:val="0"/>
                <w:noProof/>
                <w:webHidden/>
              </w:rPr>
              <w:instrText xml:space="preserve"> PAGEREF _Toc476824448 \h </w:instrText>
            </w:r>
            <w:r w:rsidRPr="000B4172">
              <w:rPr>
                <w:b w:val="0"/>
                <w:noProof/>
                <w:webHidden/>
              </w:rPr>
            </w:r>
            <w:r w:rsidRPr="000B4172">
              <w:rPr>
                <w:b w:val="0"/>
                <w:noProof/>
                <w:webHidden/>
              </w:rPr>
              <w:fldChar w:fldCharType="separate"/>
            </w:r>
            <w:r w:rsidRPr="000B4172">
              <w:rPr>
                <w:b w:val="0"/>
                <w:noProof/>
                <w:webHidden/>
              </w:rPr>
              <w:t>49</w:t>
            </w:r>
            <w:r w:rsidRPr="000B4172">
              <w:rPr>
                <w:b w:val="0"/>
                <w:noProof/>
                <w:webHidden/>
              </w:rPr>
              <w:fldChar w:fldCharType="end"/>
            </w:r>
          </w:hyperlink>
        </w:p>
        <w:p w:rsidR="00F3745D" w:rsidRPr="000B4172" w:rsidRDefault="00F3745D">
          <w:pPr>
            <w:pStyle w:val="Verzeichnis1"/>
            <w:rPr>
              <w:rFonts w:asciiTheme="minorHAnsi" w:eastAsiaTheme="minorEastAsia" w:hAnsiTheme="minorHAnsi" w:cstheme="minorBidi"/>
              <w:b w:val="0"/>
              <w:bCs w:val="0"/>
              <w:noProof/>
              <w:szCs w:val="22"/>
            </w:rPr>
          </w:pPr>
          <w:hyperlink w:anchor="_Toc476824449" w:history="1">
            <w:r w:rsidRPr="000B4172">
              <w:rPr>
                <w:rStyle w:val="Hyperlink"/>
                <w:b w:val="0"/>
                <w:noProof/>
              </w:rPr>
              <w:t>Zusätzliche Regelungen zur Bilanzierung von Biogas im Marktgebiet</w:t>
            </w:r>
            <w:r w:rsidRPr="000B4172">
              <w:rPr>
                <w:b w:val="0"/>
                <w:noProof/>
                <w:webHidden/>
              </w:rPr>
              <w:tab/>
            </w:r>
            <w:r w:rsidRPr="000B4172">
              <w:rPr>
                <w:b w:val="0"/>
                <w:noProof/>
                <w:webHidden/>
              </w:rPr>
              <w:fldChar w:fldCharType="begin"/>
            </w:r>
            <w:r w:rsidRPr="000B4172">
              <w:rPr>
                <w:b w:val="0"/>
                <w:noProof/>
                <w:webHidden/>
              </w:rPr>
              <w:instrText xml:space="preserve"> PAGEREF _Toc476824449 \h </w:instrText>
            </w:r>
            <w:r w:rsidRPr="000B4172">
              <w:rPr>
                <w:b w:val="0"/>
                <w:noProof/>
                <w:webHidden/>
              </w:rPr>
            </w:r>
            <w:r w:rsidRPr="000B4172">
              <w:rPr>
                <w:b w:val="0"/>
                <w:noProof/>
                <w:webHidden/>
              </w:rPr>
              <w:fldChar w:fldCharType="separate"/>
            </w:r>
            <w:r w:rsidRPr="000B4172">
              <w:rPr>
                <w:b w:val="0"/>
                <w:noProof/>
                <w:webHidden/>
              </w:rPr>
              <w:t>52</w:t>
            </w:r>
            <w:r w:rsidRPr="000B4172">
              <w:rPr>
                <w:b w:val="0"/>
                <w:noProof/>
                <w:webHidden/>
              </w:rPr>
              <w:fldChar w:fldCharType="end"/>
            </w:r>
          </w:hyperlink>
        </w:p>
        <w:p w:rsidR="00C75F67" w:rsidRPr="001F039E" w:rsidRDefault="00C6426A" w:rsidP="001F039E">
          <w:pPr>
            <w:pStyle w:val="Verzeichnis1"/>
            <w:rPr>
              <w:rFonts w:cs="Times New Roman"/>
              <w:b w:val="0"/>
              <w:noProof/>
              <w:color w:val="0068AF"/>
              <w:u w:val="single"/>
            </w:rPr>
          </w:pPr>
          <w:r w:rsidRPr="000B4172">
            <w:rPr>
              <w:rStyle w:val="Hyperlink"/>
              <w:b w:val="0"/>
              <w:noProof/>
            </w:rPr>
            <w:fldChar w:fldCharType="end"/>
          </w:r>
        </w:p>
      </w:sdtContent>
    </w:sdt>
    <w:p w:rsidR="005E4E64" w:rsidRDefault="005E4E64">
      <w:pPr>
        <w:spacing w:after="0" w:line="240" w:lineRule="auto"/>
        <w:rPr>
          <w:rFonts w:cs="Arial"/>
          <w:b/>
          <w:bCs/>
          <w:spacing w:val="6"/>
          <w:kern w:val="32"/>
          <w:szCs w:val="22"/>
        </w:rPr>
      </w:pPr>
      <w:bookmarkStart w:id="2" w:name="_Toc130898654"/>
      <w:bookmarkStart w:id="3" w:name="_Toc297207911"/>
      <w:r>
        <w:br w:type="page"/>
      </w:r>
    </w:p>
    <w:p w:rsidR="00C75F67" w:rsidRDefault="00C75F67" w:rsidP="00C75F67">
      <w:pPr>
        <w:pStyle w:val="berschrift1"/>
      </w:pPr>
      <w:bookmarkStart w:id="4" w:name="_Toc476824404"/>
      <w:r>
        <w:t xml:space="preserve">§ 1 </w:t>
      </w:r>
      <w:r w:rsidRPr="00E9716F">
        <w:t>Gegenstand des Vertrages</w:t>
      </w:r>
      <w:bookmarkEnd w:id="2"/>
      <w:bookmarkEnd w:id="3"/>
      <w:bookmarkEnd w:id="4"/>
    </w:p>
    <w:p w:rsidR="00CE1213" w:rsidRDefault="00CE1213" w:rsidP="00817985">
      <w:pPr>
        <w:numPr>
          <w:ilvl w:val="0"/>
          <w:numId w:val="18"/>
        </w:numPr>
      </w:pPr>
      <w:r w:rsidRPr="00E9716F">
        <w:t>Gegenstand des Vertrages ist der Ausgleich und die Abrechnung von Differenzen zw</w:t>
      </w:r>
      <w:r w:rsidRPr="00E9716F">
        <w:t>i</w:t>
      </w:r>
      <w:r w:rsidRPr="00E9716F">
        <w:t>schen den ein- und ausgespeisten Gasmen</w:t>
      </w:r>
      <w:r w:rsidRPr="00C703D7">
        <w:t>g</w:t>
      </w:r>
      <w:r w:rsidRPr="00E9716F">
        <w:t>en, die dem im jeweiligen Vertrag gerege</w:t>
      </w:r>
      <w:r w:rsidRPr="00E9716F">
        <w:t>l</w:t>
      </w:r>
      <w:r w:rsidRPr="00E9716F">
        <w:t>ten Bilanzkreis zugeordnet werden, die Übertragung von Gasmengen zwischen Bilan</w:t>
      </w:r>
      <w:r w:rsidRPr="00E9716F">
        <w:t>z</w:t>
      </w:r>
      <w:r w:rsidRPr="00E9716F">
        <w:t xml:space="preserve">kreisen über den Virtuellen Handelspunkt (VHP), die Abrechnung der </w:t>
      </w:r>
      <w:r w:rsidR="00DB29EB">
        <w:t>Bilanzierungs</w:t>
      </w:r>
      <w:r w:rsidRPr="00E9716F">
        <w:t>u</w:t>
      </w:r>
      <w:r w:rsidRPr="00E9716F">
        <w:t>m</w:t>
      </w:r>
      <w:r w:rsidRPr="00E9716F">
        <w:t>lage</w:t>
      </w:r>
      <w:r w:rsidR="004B4827">
        <w:t>n</w:t>
      </w:r>
      <w:r w:rsidRPr="00E9716F">
        <w:t xml:space="preserve"> sowie die Abwicklung der dazu notwendigen Kommunikationsprozesse.</w:t>
      </w:r>
    </w:p>
    <w:p w:rsidR="009D7641" w:rsidRDefault="00CE1213" w:rsidP="00817985">
      <w:pPr>
        <w:numPr>
          <w:ilvl w:val="0"/>
          <w:numId w:val="18"/>
        </w:numPr>
      </w:pPr>
      <w:r w:rsidRPr="00E9716F">
        <w:t xml:space="preserve">Der Bilanzkreisverantwortliche ist verpflichtet, den Bilanzkreis nach Maßgabe dieses Vertrages zu bewirtschaften. Der Marktgebietsverantwortliche ist zur </w:t>
      </w:r>
      <w:r w:rsidR="0093753A">
        <w:t xml:space="preserve">Bereitstellung von Daten und zur </w:t>
      </w:r>
      <w:r w:rsidRPr="00E9716F">
        <w:t>Abrechnung des Bilanzkreises nach Maßgabe dieses Vertrages ve</w:t>
      </w:r>
      <w:r w:rsidRPr="00E9716F">
        <w:t>r</w:t>
      </w:r>
      <w:r w:rsidRPr="00E9716F">
        <w:t>pflichtet.</w:t>
      </w:r>
    </w:p>
    <w:p w:rsidR="00EE5ED5" w:rsidRDefault="0082475B" w:rsidP="0082475B">
      <w:pPr>
        <w:pStyle w:val="berschrift1"/>
      </w:pPr>
      <w:bookmarkStart w:id="5" w:name="_Toc297207912"/>
      <w:bookmarkStart w:id="6" w:name="_Toc476824405"/>
      <w:r>
        <w:t xml:space="preserve">§ 2 </w:t>
      </w:r>
      <w:r w:rsidR="00CE1213" w:rsidRPr="00E9716F">
        <w:t>Vertragsbestandteile</w:t>
      </w:r>
      <w:bookmarkEnd w:id="5"/>
      <w:bookmarkEnd w:id="6"/>
    </w:p>
    <w:p w:rsidR="00CE1213" w:rsidRPr="00E9716F" w:rsidRDefault="00CE1213" w:rsidP="00586F5B">
      <w:pPr>
        <w:numPr>
          <w:ilvl w:val="0"/>
          <w:numId w:val="98"/>
        </w:numPr>
      </w:pPr>
      <w:r w:rsidRPr="00E9716F">
        <w:t>Die ergänzenden Geschäftsbedingungen des M</w:t>
      </w:r>
      <w:r>
        <w:t>arktgebietsverantwortlichen</w:t>
      </w:r>
      <w:r w:rsidRPr="00E9716F">
        <w:t xml:space="preserve"> in der zum Zeitpunkt des Abschlusses dieses Vertrages gültigen Fassung sind wesentlicher B</w:t>
      </w:r>
      <w:r w:rsidRPr="00E9716F">
        <w:t>e</w:t>
      </w:r>
      <w:r w:rsidRPr="00E9716F">
        <w:t xml:space="preserve">standteil dieses Vertrages. </w:t>
      </w:r>
    </w:p>
    <w:p w:rsidR="00CE1213" w:rsidRPr="00E9716F" w:rsidRDefault="00CE1213" w:rsidP="00586F5B">
      <w:pPr>
        <w:numPr>
          <w:ilvl w:val="0"/>
          <w:numId w:val="98"/>
        </w:numPr>
      </w:pPr>
      <w:r w:rsidRPr="00E9716F">
        <w:t>Im Falle von Widersprüchen zwischen den Bestimmungen des Vertrages und den e</w:t>
      </w:r>
      <w:r w:rsidRPr="00E9716F">
        <w:t>r</w:t>
      </w:r>
      <w:r w:rsidRPr="00E9716F">
        <w:t>gänzenden Geschäftsbedingungen des M</w:t>
      </w:r>
      <w:r>
        <w:t>arktgebietsverantwortlichen</w:t>
      </w:r>
      <w:r w:rsidRPr="00E9716F">
        <w:t xml:space="preserve"> haben die B</w:t>
      </w:r>
      <w:r w:rsidRPr="00E9716F">
        <w:t>e</w:t>
      </w:r>
      <w:r w:rsidRPr="00E9716F">
        <w:t xml:space="preserve">stimmungen dieses Vertrages Vorrang vor den ergänzenden Geschäftsbedingungen. </w:t>
      </w:r>
    </w:p>
    <w:p w:rsidR="00EE5ED5" w:rsidRDefault="0082475B" w:rsidP="0082475B">
      <w:pPr>
        <w:pStyle w:val="berschrift1"/>
      </w:pPr>
      <w:bookmarkStart w:id="7" w:name="_Toc297207913"/>
      <w:bookmarkStart w:id="8" w:name="_Toc476824406"/>
      <w:r>
        <w:t xml:space="preserve">§ 3 </w:t>
      </w:r>
      <w:r w:rsidR="00CE1213" w:rsidRPr="00E9716F">
        <w:t>Online-Vertragsschluss und Implementierungsfrist</w:t>
      </w:r>
      <w:bookmarkEnd w:id="7"/>
      <w:bookmarkEnd w:id="8"/>
    </w:p>
    <w:p w:rsidR="00CE1213" w:rsidRPr="003F7C7B" w:rsidRDefault="00CE1213" w:rsidP="00817985">
      <w:pPr>
        <w:numPr>
          <w:ilvl w:val="0"/>
          <w:numId w:val="19"/>
        </w:numPr>
      </w:pPr>
      <w:r w:rsidRPr="00E9716F">
        <w:t>Der Abschluss eines Vertrages muss zum Zwecke der systemtechnischen Implementi</w:t>
      </w:r>
      <w:r w:rsidRPr="00E9716F">
        <w:t>e</w:t>
      </w:r>
      <w:r w:rsidRPr="00E9716F">
        <w:t xml:space="preserve">rung des Vertrages spätestens 10 Werktage vor Beginn der Nutzung des Bilanzkreises erfolgen (Implementierungsfrist). Innerhalb der Implementierungsfrist können bereits Ein- und Ausspeisepunkte (im Folgenden zusammenfassend </w:t>
      </w:r>
      <w:r w:rsidR="00413882">
        <w:t>„</w:t>
      </w:r>
      <w:r w:rsidRPr="00E9716F">
        <w:t>Punkte</w:t>
      </w:r>
      <w:r w:rsidR="00413882">
        <w:t>“</w:t>
      </w:r>
      <w:r w:rsidRPr="00E9716F">
        <w:t xml:space="preserve"> genannt) de</w:t>
      </w:r>
      <w:r>
        <w:t>m</w:t>
      </w:r>
      <w:r w:rsidRPr="00E9716F">
        <w:t xml:space="preserve"> Bilanzkreis </w:t>
      </w:r>
      <w:r>
        <w:t>zugeordnet</w:t>
      </w:r>
      <w:r w:rsidRPr="00E9716F">
        <w:t xml:space="preserve"> werden. </w:t>
      </w:r>
      <w:r>
        <w:t>Das Erfordernis zur Durchführung des Kommunikat</w:t>
      </w:r>
      <w:r>
        <w:t>i</w:t>
      </w:r>
      <w:r>
        <w:t xml:space="preserve">onstests </w:t>
      </w:r>
      <w:r w:rsidRPr="00E9716F">
        <w:t>des M</w:t>
      </w:r>
      <w:r>
        <w:t>arktgebietsverantwortlichen bleibt hiervon unberührt.</w:t>
      </w:r>
      <w:r w:rsidRPr="00E9716F">
        <w:t xml:space="preserve"> Die von der Bu</w:t>
      </w:r>
      <w:r w:rsidRPr="00E9716F">
        <w:t>n</w:t>
      </w:r>
      <w:r w:rsidRPr="00E9716F">
        <w:t xml:space="preserve">desnetzagentur getroffene Festlegung </w:t>
      </w:r>
      <w:r w:rsidRPr="003F7C7B">
        <w:t>GeLi Gas bleibt unberührt.</w:t>
      </w:r>
    </w:p>
    <w:p w:rsidR="00CE1213" w:rsidRPr="003F7C7B" w:rsidRDefault="00CE1213" w:rsidP="00817985">
      <w:pPr>
        <w:numPr>
          <w:ilvl w:val="0"/>
          <w:numId w:val="19"/>
        </w:numPr>
      </w:pPr>
      <w:r w:rsidRPr="003F7C7B">
        <w:t xml:space="preserve">Der Marktgebietsverantwortliche </w:t>
      </w:r>
      <w:r w:rsidR="0084027B">
        <w:t>muss</w:t>
      </w:r>
      <w:r w:rsidR="0084027B" w:rsidRPr="003F7C7B">
        <w:t xml:space="preserve"> </w:t>
      </w:r>
      <w:r w:rsidRPr="003F7C7B">
        <w:t xml:space="preserve">in einem qualitätsübergreifenden Marktgebiet den Abschluss sowohl von H- als auch von L-Gas-Bilanzkreisverträgen anbieten. </w:t>
      </w:r>
    </w:p>
    <w:p w:rsidR="00CE1213" w:rsidRPr="00E9716F" w:rsidRDefault="00CE1213" w:rsidP="00817985">
      <w:pPr>
        <w:numPr>
          <w:ilvl w:val="0"/>
          <w:numId w:val="19"/>
        </w:numPr>
      </w:pPr>
      <w:r w:rsidRPr="00E9716F">
        <w:t>Der Bilanzkreisverantwortliche gibt mit der Eingabe und Bestätigung der hierzu seitens des M</w:t>
      </w:r>
      <w:r>
        <w:t>arktgebietsverantwortlichen</w:t>
      </w:r>
      <w:r w:rsidRPr="00E9716F">
        <w:t xml:space="preserve"> angeforderten Daten ein verbindliches Angebot zum Abschluss eines Vertrages ab. Die Annahme des Angebotes erfolgt unmittelbar durch eine elektronische Vertragsbestätigung.</w:t>
      </w:r>
      <w:r w:rsidRPr="00A0607A">
        <w:t xml:space="preserve"> </w:t>
      </w:r>
      <w:r>
        <w:t>Der Abschluss des jeweiligen Vertrages erfolgt über die Online-Plattform des Marktgebietsverantwortlichen.</w:t>
      </w:r>
    </w:p>
    <w:p w:rsidR="00962782" w:rsidRPr="00E9716F" w:rsidRDefault="00962782" w:rsidP="00962782">
      <w:pPr>
        <w:pStyle w:val="berschrift1"/>
      </w:pPr>
      <w:bookmarkStart w:id="9" w:name="_Toc297207923"/>
      <w:bookmarkStart w:id="10" w:name="_Toc130898659"/>
      <w:bookmarkStart w:id="11" w:name="_Toc297207914"/>
      <w:bookmarkStart w:id="12" w:name="_Toc130898655"/>
      <w:bookmarkStart w:id="13" w:name="_Toc476824407"/>
      <w:r>
        <w:t xml:space="preserve">§ 4 </w:t>
      </w:r>
      <w:r w:rsidRPr="00E9716F">
        <w:t>Tagesbilanzierung</w:t>
      </w:r>
      <w:bookmarkEnd w:id="9"/>
      <w:bookmarkEnd w:id="13"/>
    </w:p>
    <w:p w:rsidR="00962782" w:rsidRDefault="00962782" w:rsidP="00962782">
      <w:pPr>
        <w:numPr>
          <w:ilvl w:val="0"/>
          <w:numId w:val="27"/>
        </w:numPr>
      </w:pPr>
      <w:r>
        <w:t xml:space="preserve">Sämtliche von den Transportkunden </w:t>
      </w:r>
      <w:r w:rsidRPr="008A7678">
        <w:t>transportierten und gehandelten Mengen sind vom Marktgebietsverantwortlichen zu bilanzieren, soweit diese allokiert wurden. Die Bila</w:t>
      </w:r>
      <w:r w:rsidRPr="008A7678">
        <w:t>n</w:t>
      </w:r>
      <w:r w:rsidRPr="008A7678">
        <w:t xml:space="preserve">zierungsperiode ist der Gastag („D“), d.h. es gilt eine Tagesbilanzierung. </w:t>
      </w:r>
      <w:r>
        <w:t>Der Bilan</w:t>
      </w:r>
      <w:r>
        <w:t>z</w:t>
      </w:r>
      <w:r>
        <w:t>kreisverantwortliche ist verpflichtet, innerhalb dieser Bilanzierungsperiode für eine au</w:t>
      </w:r>
      <w:r>
        <w:t>s</w:t>
      </w:r>
      <w:r>
        <w:t xml:space="preserve">geglichene Bilanz zu sorgen. </w:t>
      </w:r>
      <w:r w:rsidRPr="008A7678">
        <w:t>Die Differenz</w:t>
      </w:r>
      <w:r>
        <w:t xml:space="preserve"> der während der Bilanzierungsperiode ein- und ausgespeisten bilanzrelevanten Mengen wird durch den Marktgebietsverantwortl</w:t>
      </w:r>
      <w:r>
        <w:t>i</w:t>
      </w:r>
      <w:r>
        <w:t xml:space="preserve">chen am Ende der Bilanzierungsperiode als Ausgleichsenergie abgerechnet. Der Marktgebietsverantwortliche erhebt oder zahlt hierfür Ausgleichsenergieentgelte gemäß § </w:t>
      </w:r>
      <w:r w:rsidR="00905822">
        <w:t xml:space="preserve">14 </w:t>
      </w:r>
      <w:r>
        <w:t xml:space="preserve">Ziffer 4. Neben dem Tagesbilanzierungssystem </w:t>
      </w:r>
      <w:r w:rsidR="00905822">
        <w:t xml:space="preserve">sind untertägige Verpflichtungen </w:t>
      </w:r>
      <w:r>
        <w:t xml:space="preserve">gemäß § </w:t>
      </w:r>
      <w:r w:rsidR="00905822">
        <w:t>6</w:t>
      </w:r>
      <w:r>
        <w:t xml:space="preserve"> anzuwenden.</w:t>
      </w:r>
    </w:p>
    <w:p w:rsidR="00962782" w:rsidRDefault="00962782" w:rsidP="00962782">
      <w:pPr>
        <w:numPr>
          <w:ilvl w:val="0"/>
          <w:numId w:val="27"/>
        </w:numPr>
      </w:pPr>
      <w:r>
        <w:t>Für die Bilanzierung sind stündlich nominierte Mengen, gemessene Mengen und Me</w:t>
      </w:r>
      <w:r>
        <w:t>n</w:t>
      </w:r>
      <w:r>
        <w:t>gen aus Standardlastprofilverfahren nach folgenden Maßgaben bilanzrelevant:</w:t>
      </w:r>
    </w:p>
    <w:p w:rsidR="00962782" w:rsidRDefault="00962782" w:rsidP="00962782">
      <w:pPr>
        <w:ind w:left="851" w:hanging="284"/>
      </w:pPr>
      <w:r>
        <w:t>a)</w:t>
      </w:r>
      <w:r>
        <w:tab/>
        <w:t>Nominierte Mengen werden grundsätzlich für folgende Punkte in die Bilanz eing</w:t>
      </w:r>
      <w:r>
        <w:t>e</w:t>
      </w:r>
      <w:r>
        <w:t>stellt, für diese Punkte gilt grundsätzlich das Prinzip „allokiert wie nominiert“:</w:t>
      </w:r>
    </w:p>
    <w:p w:rsidR="00962782" w:rsidRDefault="00962782" w:rsidP="00962782">
      <w:pPr>
        <w:ind w:left="1418" w:hanging="567"/>
      </w:pPr>
      <w:r>
        <w:t>aa)</w:t>
      </w:r>
      <w:r>
        <w:tab/>
        <w:t>Ein- und Ausspeisepunkte an der Grenze zwischen Marktgebieten,</w:t>
      </w:r>
    </w:p>
    <w:p w:rsidR="00962782" w:rsidRDefault="00962782" w:rsidP="00962782">
      <w:pPr>
        <w:ind w:left="1418" w:hanging="567"/>
      </w:pPr>
      <w:r>
        <w:t>bb)</w:t>
      </w:r>
      <w:r>
        <w:tab/>
        <w:t>Ein- und Ausspeisepunkte an Grenzübergangspunkten,</w:t>
      </w:r>
    </w:p>
    <w:p w:rsidR="00962782" w:rsidRDefault="00962782" w:rsidP="00962782">
      <w:pPr>
        <w:ind w:left="1418" w:hanging="567"/>
      </w:pPr>
      <w:r>
        <w:t>cc)</w:t>
      </w:r>
      <w:r>
        <w:tab/>
        <w:t>Einspeisepunkte aus inländischen Produktionsanlagen,</w:t>
      </w:r>
    </w:p>
    <w:p w:rsidR="00962782" w:rsidRDefault="00962782" w:rsidP="00962782">
      <w:pPr>
        <w:ind w:left="1418" w:hanging="567"/>
      </w:pPr>
      <w:r>
        <w:t>dd)</w:t>
      </w:r>
      <w:r>
        <w:tab/>
        <w:t>Virtuelle Ein- und Ausspeisepunkte sowie</w:t>
      </w:r>
    </w:p>
    <w:p w:rsidR="00962782" w:rsidRDefault="00962782" w:rsidP="00962782">
      <w:pPr>
        <w:ind w:left="1418" w:hanging="567"/>
      </w:pPr>
      <w:r>
        <w:t>ee)</w:t>
      </w:r>
      <w:r>
        <w:tab/>
        <w:t>Ein- und Ausspeisepunkte aus Speichern.</w:t>
      </w:r>
    </w:p>
    <w:p w:rsidR="00962782" w:rsidRDefault="00962782" w:rsidP="00962782">
      <w:pPr>
        <w:spacing w:before="120"/>
        <w:ind w:left="851"/>
      </w:pPr>
      <w:r>
        <w:t>Abweichend hiervon können Messwerte auch an solchen Grenzübergangspunkten, die ausschließlich der Versorgung von Letztverbrauchern dienen, sowie bei Einspe</w:t>
      </w:r>
      <w:r>
        <w:t>i</w:t>
      </w:r>
      <w:r>
        <w:t>sepunkten aus inländischen Produktionsanlagen als bilanzkreisrelevante Daten ve</w:t>
      </w:r>
      <w:r>
        <w:t>r</w:t>
      </w:r>
      <w:r>
        <w:t>wendet werden („allokiert wie gemessen“). Für Grenzübergangspunkte, die au</w:t>
      </w:r>
      <w:r>
        <w:t>s</w:t>
      </w:r>
      <w:r>
        <w:t>schließlich der Versorgung von Letztverbrauchern dienen, gilt dies nur, sofern es von der Bundesnetzagentur genehmigt wurde. Solche Punkte sind im Bilanzierungsreg</w:t>
      </w:r>
      <w:r>
        <w:t>i</w:t>
      </w:r>
      <w:r>
        <w:t>me wie Ausspeisepunkte mit registrierender Leistungsmessung zu behandeln.</w:t>
      </w:r>
    </w:p>
    <w:p w:rsidR="00962782" w:rsidRDefault="00962782" w:rsidP="00962782">
      <w:pPr>
        <w:ind w:left="567"/>
      </w:pPr>
      <w:r>
        <w:t>b)</w:t>
      </w:r>
      <w:r>
        <w:tab/>
        <w:t>Für RLM-Ausspeisepunkte sind gemessene Werte („Ist-Entnahmen“) bilanzrelevant.</w:t>
      </w:r>
    </w:p>
    <w:p w:rsidR="00962782" w:rsidRDefault="00962782" w:rsidP="00962782">
      <w:pPr>
        <w:ind w:left="851" w:hanging="284"/>
      </w:pPr>
      <w:r>
        <w:t>c)</w:t>
      </w:r>
      <w:r>
        <w:tab/>
        <w:t>Für Ausspeisepunkte mit nicht täglich gemessenen Ausspeisungen sind Standar</w:t>
      </w:r>
      <w:r>
        <w:t>d</w:t>
      </w:r>
      <w:r>
        <w:t>lastprofile („SLP-Ausspeisepunkte“) auf der Grundlage einer Vortagesprognose b</w:t>
      </w:r>
      <w:r>
        <w:t>i</w:t>
      </w:r>
      <w:r>
        <w:t>lanzrelevant. Den Bilanzkreisverantwortlichen werden die Prognosen vom Marktg</w:t>
      </w:r>
      <w:r>
        <w:t>e</w:t>
      </w:r>
      <w:r>
        <w:t xml:space="preserve">bietsverantwortlichen am Vortag („D-1“) der Bilanzierungsperiode übermittelt. </w:t>
      </w:r>
    </w:p>
    <w:p w:rsidR="00962782" w:rsidRPr="00E9716F" w:rsidRDefault="00962782" w:rsidP="00962782">
      <w:pPr>
        <w:pStyle w:val="berschrift1"/>
      </w:pPr>
      <w:bookmarkStart w:id="14" w:name="_Toc297207926"/>
      <w:bookmarkStart w:id="15" w:name="_Toc476824408"/>
      <w:bookmarkEnd w:id="10"/>
      <w:r>
        <w:t xml:space="preserve">§ 5 </w:t>
      </w:r>
      <w:r w:rsidRPr="00E9716F">
        <w:t>Ausgeglichenheit</w:t>
      </w:r>
      <w:r>
        <w:t xml:space="preserve"> </w:t>
      </w:r>
      <w:r w:rsidRPr="00E9716F">
        <w:t>des Bilanzkreises</w:t>
      </w:r>
      <w:bookmarkEnd w:id="14"/>
      <w:bookmarkEnd w:id="15"/>
    </w:p>
    <w:p w:rsidR="00962782" w:rsidRPr="00E9716F" w:rsidRDefault="00962782" w:rsidP="00962782">
      <w:r w:rsidRPr="00E9716F">
        <w:t xml:space="preserve">Der Bilanzkreisverantwortliche ist verpflichtet </w:t>
      </w:r>
      <w:r w:rsidR="00A665B8">
        <w:t xml:space="preserve">sicherzustellen, </w:t>
      </w:r>
      <w:r w:rsidRPr="00E9716F">
        <w:t>dass innerhalb seines Bilan</w:t>
      </w:r>
      <w:r w:rsidRPr="00E9716F">
        <w:t>z</w:t>
      </w:r>
      <w:r w:rsidRPr="00E9716F">
        <w:t>kreises die gesamte Gasmenge in kWh, die im Bilanzkreis übertragen wird, möglichst der gesamten Gasmenge in kWh entspricht, die dem Bilanzkreis entnommen wird. Der Bilan</w:t>
      </w:r>
      <w:r w:rsidRPr="00E9716F">
        <w:t>z</w:t>
      </w:r>
      <w:r w:rsidRPr="00E9716F">
        <w:t xml:space="preserve">kreisverantwortliche muss alle zumutbaren Anstrengungen unternehmen, um prognostizierbare Abweichungen zu vermeiden. </w:t>
      </w:r>
    </w:p>
    <w:p w:rsidR="00962782" w:rsidRPr="00E9716F" w:rsidRDefault="00962782" w:rsidP="00962782">
      <w:pPr>
        <w:pStyle w:val="berschrift1"/>
      </w:pPr>
      <w:bookmarkStart w:id="16" w:name="_Toc476824409"/>
      <w:r>
        <w:t>§ 6 Untertägige Verpflichtungen</w:t>
      </w:r>
      <w:bookmarkEnd w:id="16"/>
    </w:p>
    <w:p w:rsidR="00905822" w:rsidRPr="00E831E1" w:rsidRDefault="00905822" w:rsidP="00905822">
      <w:pPr>
        <w:pStyle w:val="BulletPGL2"/>
      </w:pPr>
      <w:r w:rsidRPr="00E831E1">
        <w:t xml:space="preserve">Im Rahmen </w:t>
      </w:r>
      <w:r w:rsidR="00471BFD">
        <w:t xml:space="preserve">der untertägigen Verpflichtungen </w:t>
      </w:r>
      <w:r w:rsidRPr="00E831E1">
        <w:t>saldiert der Marktgebietsverantwortliche für jede Stunde innerhalb des Gastags die in dieser Stunde gemäß Ziffer</w:t>
      </w:r>
      <w:r w:rsidR="00A331A2">
        <w:t xml:space="preserve"> 2 lit. </w:t>
      </w:r>
      <w:r w:rsidRPr="00E831E1">
        <w:t>a) bis</w:t>
      </w:r>
      <w:r w:rsidR="00A331A2">
        <w:t xml:space="preserve"> </w:t>
      </w:r>
      <w:r w:rsidRPr="00E831E1">
        <w:t>c) relevanten Einspeisungen in den Bilanzkreis mit den relevanten Ausspeisungen aus dem Bilanzkreis. Eine gesonderte Betrachtung von Ein- oder Ausspeisemengen an ei</w:t>
      </w:r>
      <w:r w:rsidRPr="00E831E1">
        <w:t>n</w:t>
      </w:r>
      <w:r w:rsidRPr="00E831E1">
        <w:t>zelnen Punkten findet nicht statt. Für eine nach der Saldierung und Anwendung der ggf. gewährten Toleranz verbleibende Über- oder Unterspeisung (Stundenabweichung) hat der Bilanzkreisverantwortliche an den Marktgebietsverantwortlichen</w:t>
      </w:r>
      <w:r w:rsidRPr="00E831E1" w:rsidDel="004302F8">
        <w:t xml:space="preserve"> </w:t>
      </w:r>
      <w:r w:rsidRPr="00E831E1">
        <w:t xml:space="preserve">einen </w:t>
      </w:r>
      <w:r w:rsidR="00376031">
        <w:t>Flexibilität</w:t>
      </w:r>
      <w:r w:rsidR="00376031">
        <w:t>s</w:t>
      </w:r>
      <w:r w:rsidR="00376031">
        <w:t>kostenbeitrag</w:t>
      </w:r>
      <w:r w:rsidR="00376031" w:rsidRPr="00E831E1">
        <w:t xml:space="preserve"> </w:t>
      </w:r>
      <w:r w:rsidRPr="00E831E1">
        <w:t>in Euro je MWh zu entrichten. Ein Ausgleich der Stundenabweichung e</w:t>
      </w:r>
      <w:r w:rsidRPr="00E831E1">
        <w:t>r</w:t>
      </w:r>
      <w:r w:rsidRPr="00E831E1">
        <w:t>folgt nicht.</w:t>
      </w:r>
    </w:p>
    <w:p w:rsidR="00905822" w:rsidRPr="00E831E1" w:rsidRDefault="00905822" w:rsidP="00905822">
      <w:pPr>
        <w:pStyle w:val="BulletPGL2"/>
      </w:pPr>
      <w:r w:rsidRPr="00E831E1">
        <w:t xml:space="preserve">Für </w:t>
      </w:r>
      <w:r w:rsidR="00471BFD">
        <w:t>die untertägige</w:t>
      </w:r>
      <w:r w:rsidR="003C0544">
        <w:t>n</w:t>
      </w:r>
      <w:r w:rsidR="00471BFD">
        <w:t xml:space="preserve"> Verpflichtung</w:t>
      </w:r>
      <w:r w:rsidR="003C0544">
        <w:t>en</w:t>
      </w:r>
      <w:r w:rsidR="00471BFD">
        <w:t xml:space="preserve"> </w:t>
      </w:r>
      <w:r w:rsidRPr="00E831E1">
        <w:t>werden folgende Fallgruppen unterschieden:</w:t>
      </w:r>
    </w:p>
    <w:p w:rsidR="00905822" w:rsidRPr="00E831E1" w:rsidRDefault="00905822" w:rsidP="00905822">
      <w:pPr>
        <w:numPr>
          <w:ilvl w:val="0"/>
          <w:numId w:val="31"/>
        </w:numPr>
      </w:pPr>
      <w:r w:rsidRPr="00E831E1">
        <w:t xml:space="preserve">Punkte mit besonderer Bedeutung für die Netzstabilität sowie VHP: </w:t>
      </w:r>
    </w:p>
    <w:p w:rsidR="00905822" w:rsidRPr="00E831E1" w:rsidRDefault="00905822" w:rsidP="00905822">
      <w:pPr>
        <w:ind w:left="851"/>
      </w:pPr>
      <w:r w:rsidRPr="00E831E1">
        <w:t>Für folgende Ein- und Ausspeisepunkte, ist die stundenscharf allokierte Menge rel</w:t>
      </w:r>
      <w:r w:rsidRPr="00E831E1">
        <w:t>e</w:t>
      </w:r>
      <w:r w:rsidRPr="00E831E1">
        <w:t xml:space="preserve">vant: </w:t>
      </w:r>
    </w:p>
    <w:p w:rsidR="00905822" w:rsidRPr="00E831E1" w:rsidRDefault="00905822" w:rsidP="00905822">
      <w:pPr>
        <w:numPr>
          <w:ilvl w:val="0"/>
          <w:numId w:val="16"/>
        </w:numPr>
        <w:ind w:left="1276" w:hanging="425"/>
      </w:pPr>
      <w:r w:rsidRPr="00E831E1">
        <w:t>Ein- und Ausspeisepunkte an der Grenze zwischen Marktgebieten,</w:t>
      </w:r>
    </w:p>
    <w:p w:rsidR="00905822" w:rsidRPr="00E831E1" w:rsidRDefault="00905822" w:rsidP="00905822">
      <w:pPr>
        <w:numPr>
          <w:ilvl w:val="0"/>
          <w:numId w:val="16"/>
        </w:numPr>
        <w:ind w:left="1276" w:hanging="425"/>
      </w:pPr>
      <w:r w:rsidRPr="00E831E1">
        <w:t>Ein- und Ausspeisepunkte an Grenz</w:t>
      </w:r>
      <w:r>
        <w:t>übergang</w:t>
      </w:r>
      <w:r w:rsidRPr="00E831E1">
        <w:t xml:space="preserve">spunkten, </w:t>
      </w:r>
    </w:p>
    <w:p w:rsidR="00905822" w:rsidRPr="00E831E1" w:rsidRDefault="00905822" w:rsidP="00905822">
      <w:pPr>
        <w:numPr>
          <w:ilvl w:val="0"/>
          <w:numId w:val="16"/>
        </w:numPr>
        <w:ind w:left="1276" w:hanging="425"/>
      </w:pPr>
      <w:r w:rsidRPr="00E831E1">
        <w:t>Einspeisepunkte aus inländischen Produktionsanlagen,</w:t>
      </w:r>
    </w:p>
    <w:p w:rsidR="00905822" w:rsidRPr="00E831E1" w:rsidRDefault="00905822" w:rsidP="00905822">
      <w:pPr>
        <w:numPr>
          <w:ilvl w:val="0"/>
          <w:numId w:val="16"/>
        </w:numPr>
        <w:ind w:left="1276" w:hanging="425"/>
      </w:pPr>
      <w:r w:rsidRPr="00E831E1">
        <w:t xml:space="preserve">virtuelle Ein- und Ausspeisepunkte (VHP), </w:t>
      </w:r>
    </w:p>
    <w:p w:rsidR="00905822" w:rsidRPr="00E831E1" w:rsidRDefault="00905822" w:rsidP="00905822">
      <w:pPr>
        <w:numPr>
          <w:ilvl w:val="0"/>
          <w:numId w:val="16"/>
        </w:numPr>
        <w:ind w:left="1276" w:hanging="425"/>
      </w:pPr>
      <w:r w:rsidRPr="00E831E1">
        <w:t xml:space="preserve">Ein- und Ausspeisepunkte aus Speichern sowie </w:t>
      </w:r>
    </w:p>
    <w:p w:rsidR="00905822" w:rsidRPr="00E831E1" w:rsidRDefault="00905822" w:rsidP="00905822">
      <w:pPr>
        <w:numPr>
          <w:ilvl w:val="0"/>
          <w:numId w:val="16"/>
        </w:numPr>
        <w:ind w:left="1276" w:hanging="425"/>
      </w:pPr>
      <w:r w:rsidRPr="00E831E1">
        <w:t>Ausspeisungen an RLM-</w:t>
      </w:r>
      <w:r>
        <w:t>Ausspeisepunkten</w:t>
      </w:r>
    </w:p>
    <w:p w:rsidR="00905822" w:rsidRPr="00E831E1" w:rsidRDefault="00905822" w:rsidP="00905822">
      <w:pPr>
        <w:ind w:left="851"/>
      </w:pPr>
      <w:r w:rsidRPr="00E831E1">
        <w:t xml:space="preserve">Bezogen auf die </w:t>
      </w:r>
      <w:r w:rsidR="00471BFD">
        <w:t xml:space="preserve">RLM-Ausspeisepunkte </w:t>
      </w:r>
      <w:r w:rsidRPr="00E831E1">
        <w:t>wird für eine nach der Saldierung verble</w:t>
      </w:r>
      <w:r w:rsidRPr="00E831E1">
        <w:t>i</w:t>
      </w:r>
      <w:r w:rsidRPr="00E831E1">
        <w:t>bende Über- oder Unterspeisung (Stundenab</w:t>
      </w:r>
      <w:r>
        <w:t>weichung) eine Toleranz von +/</w:t>
      </w:r>
      <w:r>
        <w:noBreakHyphen/>
        <w:t xml:space="preserve"> </w:t>
      </w:r>
      <w:r w:rsidR="00A665B8">
        <w:t>7,5</w:t>
      </w:r>
      <w:r w:rsidRPr="00E831E1">
        <w:t xml:space="preserve">% </w:t>
      </w:r>
      <w:r w:rsidR="00A665B8">
        <w:t xml:space="preserve">der je Bilanzkreis </w:t>
      </w:r>
      <w:r w:rsidR="00A665B8" w:rsidRPr="00A665B8">
        <w:t>aggregierten ausgespeisten Tagesmenge auf jede Stunde inn</w:t>
      </w:r>
      <w:r w:rsidR="00A665B8" w:rsidRPr="00A665B8">
        <w:t>e</w:t>
      </w:r>
      <w:r w:rsidR="00A665B8" w:rsidRPr="00A665B8">
        <w:t>rhalb des ganzen Gastages gleichverteilt („Toleranzband“).</w:t>
      </w:r>
      <w:r w:rsidR="00A665B8">
        <w:t xml:space="preserve"> </w:t>
      </w:r>
    </w:p>
    <w:p w:rsidR="00905822" w:rsidRDefault="00A665B8" w:rsidP="00905822">
      <w:pPr>
        <w:numPr>
          <w:ilvl w:val="0"/>
          <w:numId w:val="31"/>
        </w:numPr>
      </w:pPr>
      <w:r>
        <w:t>D</w:t>
      </w:r>
      <w:r w:rsidR="00905822" w:rsidRPr="00850AE7">
        <w:t xml:space="preserve">er Fallgruppenwechsel </w:t>
      </w:r>
      <w:r>
        <w:t xml:space="preserve">wird </w:t>
      </w:r>
      <w:r w:rsidR="00905822" w:rsidRPr="00850AE7">
        <w:t xml:space="preserve">von dem </w:t>
      </w:r>
      <w:r>
        <w:t xml:space="preserve">durch den </w:t>
      </w:r>
      <w:r w:rsidR="00905822" w:rsidRPr="00850AE7">
        <w:t>Bilanzkreisverantwortlichen b</w:t>
      </w:r>
      <w:r w:rsidR="00905822" w:rsidRPr="00850AE7">
        <w:t>e</w:t>
      </w:r>
      <w:r w:rsidR="00905822" w:rsidRPr="00850AE7">
        <w:t>vollmächtigte</w:t>
      </w:r>
      <w:r w:rsidR="00905822">
        <w:t>n</w:t>
      </w:r>
      <w:r w:rsidR="00905822" w:rsidRPr="00850AE7">
        <w:t xml:space="preserve"> Transportkunden </w:t>
      </w:r>
      <w:r w:rsidR="00905822">
        <w:t>gegenüber dem</w:t>
      </w:r>
      <w:r w:rsidR="00905822" w:rsidRPr="00850AE7">
        <w:t xml:space="preserve"> Netzbetreiber gemäß</w:t>
      </w:r>
      <w:r w:rsidR="00905822">
        <w:t xml:space="preserve"> den Proze</w:t>
      </w:r>
      <w:r w:rsidR="00905822">
        <w:t>s</w:t>
      </w:r>
      <w:r w:rsidR="00905822">
        <w:t>sen und Fristen der</w:t>
      </w:r>
      <w:r w:rsidR="00905822" w:rsidRPr="00850AE7">
        <w:t xml:space="preserve"> GeLi Gas </w:t>
      </w:r>
      <w:r w:rsidR="00905822">
        <w:t>mitgeteilt.</w:t>
      </w:r>
    </w:p>
    <w:p w:rsidR="00905822" w:rsidRPr="00E831E1" w:rsidRDefault="00905822" w:rsidP="00905822">
      <w:pPr>
        <w:numPr>
          <w:ilvl w:val="0"/>
          <w:numId w:val="31"/>
        </w:numPr>
      </w:pPr>
      <w:r w:rsidRPr="00E831E1">
        <w:t>SLP-</w:t>
      </w:r>
      <w:r>
        <w:t>Ausspeisepunkte</w:t>
      </w:r>
    </w:p>
    <w:p w:rsidR="00905822" w:rsidRPr="00E831E1" w:rsidRDefault="00905822" w:rsidP="00905822">
      <w:pPr>
        <w:ind w:left="851"/>
      </w:pPr>
      <w:r w:rsidRPr="00E831E1">
        <w:t>Für SLP-</w:t>
      </w:r>
      <w:r>
        <w:t>Ausspeisepunkte</w:t>
      </w:r>
      <w:r w:rsidRPr="00E831E1">
        <w:t xml:space="preserve"> ist der stündliche Anteil der gleichmäßig über den ganzen Gastag verteilten Tagesmenge des jeweiligen Standardlastprofils für </w:t>
      </w:r>
      <w:r w:rsidR="001673BE">
        <w:t>die untertäg</w:t>
      </w:r>
      <w:r w:rsidR="001673BE">
        <w:t>i</w:t>
      </w:r>
      <w:r w:rsidR="001673BE">
        <w:t xml:space="preserve">gen Verpflichtungen </w:t>
      </w:r>
      <w:r w:rsidRPr="00E831E1">
        <w:t xml:space="preserve">relevant („Tagesband“). Bezogen auf diese Mengen erhält der Bilanzkreisverantwortliche keine Toleranz bei der Ermittlung der für den </w:t>
      </w:r>
      <w:r w:rsidR="007A6E7B">
        <w:t>Flexibilität</w:t>
      </w:r>
      <w:r w:rsidR="007A6E7B">
        <w:t>s</w:t>
      </w:r>
      <w:r w:rsidR="00AF7B6D">
        <w:t>kostenb</w:t>
      </w:r>
      <w:r w:rsidR="007A6E7B">
        <w:t>eitrag</w:t>
      </w:r>
      <w:r w:rsidRPr="00E831E1">
        <w:t xml:space="preserve"> relevanten Stundenabweichung. </w:t>
      </w:r>
    </w:p>
    <w:p w:rsidR="00905822" w:rsidRDefault="003C0544" w:rsidP="00905822">
      <w:pPr>
        <w:pStyle w:val="BulletPGL2"/>
      </w:pPr>
      <w:r>
        <w:t xml:space="preserve">Ergeben die untertägigen Verpflichtungen </w:t>
      </w:r>
      <w:r w:rsidR="00905822" w:rsidRPr="00E831E1">
        <w:t>eine Über- oder Unterspeisung unter Berüc</w:t>
      </w:r>
      <w:r w:rsidR="00905822" w:rsidRPr="00E831E1">
        <w:t>k</w:t>
      </w:r>
      <w:r w:rsidR="00905822" w:rsidRPr="00E831E1">
        <w:t>sichtigung einer ggf. bestehenden Toleranz gemäß Ziffer 2 lit. a) und b), so hat der B</w:t>
      </w:r>
      <w:r w:rsidR="00905822" w:rsidRPr="00E831E1">
        <w:t>i</w:t>
      </w:r>
      <w:r w:rsidR="00905822" w:rsidRPr="00E831E1">
        <w:t xml:space="preserve">lanzkreisverantwortliche an den Marktgebietsverantwortlichen einen </w:t>
      </w:r>
      <w:r>
        <w:t>Flexibilitätskoste</w:t>
      </w:r>
      <w:r>
        <w:t>n</w:t>
      </w:r>
      <w:r>
        <w:t xml:space="preserve">beitrag </w:t>
      </w:r>
      <w:r w:rsidR="00905822" w:rsidRPr="00E831E1">
        <w:t>in Euro je MWh zu entrichten.</w:t>
      </w:r>
    </w:p>
    <w:p w:rsidR="003C0544" w:rsidRDefault="003C0544" w:rsidP="003C0544">
      <w:pPr>
        <w:pStyle w:val="BulletPGL2"/>
      </w:pPr>
      <w:r>
        <w:t>Der M</w:t>
      </w:r>
      <w:r w:rsidR="00585701">
        <w:t>arktgebietsverantwortliche</w:t>
      </w:r>
      <w:r>
        <w:t xml:space="preserve"> erhebt nur an solche</w:t>
      </w:r>
      <w:r w:rsidR="00AF7B6D">
        <w:t>n Gastagen einen Flexibilitätsk</w:t>
      </w:r>
      <w:r>
        <w:t>o</w:t>
      </w:r>
      <w:r w:rsidR="00AF7B6D">
        <w:t>s</w:t>
      </w:r>
      <w:r>
        <w:t>tenbeitrag, an denen im Marktgebiet ein gegenläufiger Regelenergieeinsatz (Ein- und Verkauf von Regelenergie) über den MOL Rang 1 vorgelegen hat und dem M</w:t>
      </w:r>
      <w:r w:rsidR="00585701">
        <w:t>arktg</w:t>
      </w:r>
      <w:r w:rsidR="00585701">
        <w:t>e</w:t>
      </w:r>
      <w:r w:rsidR="00585701">
        <w:t>bietsverantwortlichen</w:t>
      </w:r>
      <w:r>
        <w:t xml:space="preserve"> hierdurch Kosten entstanden sind. An Gastagen, an denen diese beiden Kriterien nicht erfüllt sind, wird kein Flexibilitätskostenbeitrag erhoben.</w:t>
      </w:r>
    </w:p>
    <w:p w:rsidR="003C0544" w:rsidRDefault="003C0544" w:rsidP="003C0544">
      <w:pPr>
        <w:pStyle w:val="BulletPGL2"/>
      </w:pPr>
      <w:r>
        <w:t>Die Berechnung des Flexibilitätskostenbeitrags erfolgt in Fällen der Ziffer 4, indem z</w:t>
      </w:r>
      <w:r>
        <w:t>u</w:t>
      </w:r>
      <w:r>
        <w:t>nächst die bilanzielle Flexibilitätsmenge ermittelt wird. Hierzu werden stündliche Über- bzw. Unterschreitungen – nach Abzug einer eventuell gewährten Toleranz – dem B</w:t>
      </w:r>
      <w:r>
        <w:t>e</w:t>
      </w:r>
      <w:r>
        <w:t xml:space="preserve">trag nach durch den </w:t>
      </w:r>
      <w:r w:rsidR="00585701">
        <w:t xml:space="preserve">Marktgebietsverantwortlichen </w:t>
      </w:r>
      <w:r>
        <w:t xml:space="preserve">addiert. Die so ermittelte bilanzielle Flexibilitätsmenge wird mit dem Flexibilitätskostenbeitrag multipliziert. </w:t>
      </w:r>
    </w:p>
    <w:p w:rsidR="003C0544" w:rsidRDefault="003C0544" w:rsidP="003C0544">
      <w:pPr>
        <w:pStyle w:val="BulletPGL2"/>
        <w:numPr>
          <w:ilvl w:val="0"/>
          <w:numId w:val="0"/>
        </w:numPr>
        <w:ind w:left="567"/>
      </w:pPr>
      <w:r>
        <w:t xml:space="preserve">Zuvor wird der Flexibilitätskostenbeitrag durch eine Division der </w:t>
      </w:r>
    </w:p>
    <w:p w:rsidR="003C0544" w:rsidRDefault="003C0544" w:rsidP="003C0544">
      <w:pPr>
        <w:pStyle w:val="BulletPGL2"/>
        <w:numPr>
          <w:ilvl w:val="0"/>
          <w:numId w:val="0"/>
        </w:numPr>
        <w:ind w:left="567"/>
      </w:pPr>
      <w:r>
        <w:t xml:space="preserve">a) Kosten zu </w:t>
      </w:r>
      <w:r w:rsidR="0031268B">
        <w:t>der</w:t>
      </w:r>
    </w:p>
    <w:p w:rsidR="003C0544" w:rsidRDefault="003C0544" w:rsidP="003C0544">
      <w:pPr>
        <w:pStyle w:val="BulletPGL2"/>
        <w:numPr>
          <w:ilvl w:val="0"/>
          <w:numId w:val="0"/>
        </w:numPr>
        <w:ind w:left="567"/>
      </w:pPr>
      <w:r>
        <w:t>b) Menge an Flexi</w:t>
      </w:r>
      <w:r w:rsidR="0031268B">
        <w:t>bilitätsregelenergie errechnet.</w:t>
      </w:r>
    </w:p>
    <w:p w:rsidR="003C0544" w:rsidRDefault="003C0544" w:rsidP="003C0544">
      <w:pPr>
        <w:pStyle w:val="BulletPGL2"/>
        <w:numPr>
          <w:ilvl w:val="0"/>
          <w:numId w:val="0"/>
        </w:numPr>
        <w:ind w:left="567"/>
      </w:pPr>
      <w:r>
        <w:t>aa) Die Kosten der Flexibilitätsregelenergie ergeben sich als Differenz zwischen dem mengengewichteten Durchschnittspreis der Regelenenergieeinkäufe abzüglich des meng</w:t>
      </w:r>
      <w:r w:rsidR="00E42279">
        <w:t>e</w:t>
      </w:r>
      <w:r>
        <w:t>ngewichteten Durchschnittspreises der Regelenergieverkäufe multipliziert mit dem kleineren Betrag der gegenläufigen Regelenergiemengen</w:t>
      </w:r>
      <w:r w:rsidR="00376031">
        <w:t>, welche über den MOL Rang 1 durch den Marktgebietsverantwortlichen gehandelt wurden</w:t>
      </w:r>
      <w:r w:rsidR="0031268B">
        <w:t>.</w:t>
      </w:r>
    </w:p>
    <w:p w:rsidR="003C0544" w:rsidRDefault="003C0544" w:rsidP="003C0544">
      <w:pPr>
        <w:pStyle w:val="BulletPGL2"/>
        <w:numPr>
          <w:ilvl w:val="0"/>
          <w:numId w:val="0"/>
        </w:numPr>
        <w:ind w:left="567"/>
      </w:pPr>
      <w:r>
        <w:t>bb) Die Menge der Flexibilitätsregelenergie ergibt sich aus dem kleineren Betrag der gegenläufigen Regelenergiemenge m</w:t>
      </w:r>
      <w:r w:rsidR="0031268B">
        <w:t>ultipliziert mit dem Faktor 2.</w:t>
      </w:r>
    </w:p>
    <w:p w:rsidR="003C0544" w:rsidRDefault="003C0544" w:rsidP="003C0544">
      <w:pPr>
        <w:pStyle w:val="BulletPGL2"/>
        <w:numPr>
          <w:ilvl w:val="0"/>
          <w:numId w:val="0"/>
        </w:numPr>
        <w:ind w:left="567"/>
      </w:pPr>
      <w:r w:rsidRPr="00E831E1">
        <w:t xml:space="preserve">Die Regelungen zum </w:t>
      </w:r>
      <w:r>
        <w:t>Flexibilitätskosten</w:t>
      </w:r>
      <w:r w:rsidRPr="00E831E1">
        <w:t>beitrag lassen d</w:t>
      </w:r>
      <w:r w:rsidR="0031268B">
        <w:t>ie Tagesbilanzierung unberührt.</w:t>
      </w:r>
    </w:p>
    <w:p w:rsidR="003C0544" w:rsidRPr="00E831E1" w:rsidRDefault="003C0544" w:rsidP="003C0544">
      <w:pPr>
        <w:pStyle w:val="BulletPGL2"/>
      </w:pPr>
      <w:r>
        <w:t xml:space="preserve">Die Preise für den Flexibilitätskostenbeitrag </w:t>
      </w:r>
      <w:r w:rsidRPr="008711C9">
        <w:t>werden mit 4 Nachk</w:t>
      </w:r>
      <w:r>
        <w:t xml:space="preserve">ommastellen berechnet und kaufmännisch gerundet. Die Abrechnung des Flexibilitätskostenbeitrags </w:t>
      </w:r>
      <w:r w:rsidRPr="00444162">
        <w:t xml:space="preserve">erfolgt </w:t>
      </w:r>
      <w:r>
        <w:t xml:space="preserve">im Rahmen der Bilanzkreisabrechnung </w:t>
      </w:r>
      <w:r w:rsidRPr="00444162">
        <w:t xml:space="preserve">spätestens 2 Monate nach </w:t>
      </w:r>
      <w:r>
        <w:t xml:space="preserve">Ablauf des </w:t>
      </w:r>
      <w:r w:rsidRPr="00444162">
        <w:t>jeweils a</w:t>
      </w:r>
      <w:r w:rsidRPr="00444162">
        <w:t>b</w:t>
      </w:r>
      <w:r w:rsidRPr="00444162">
        <w:t>zurechnenden Monat</w:t>
      </w:r>
      <w:r>
        <w:t>s</w:t>
      </w:r>
      <w:r w:rsidRPr="00444162">
        <w:t>.</w:t>
      </w:r>
    </w:p>
    <w:p w:rsidR="00EE5ED5" w:rsidRDefault="0082475B" w:rsidP="0082475B">
      <w:pPr>
        <w:pStyle w:val="berschrift1"/>
      </w:pPr>
      <w:bookmarkStart w:id="17" w:name="_Toc476824410"/>
      <w:r>
        <w:t xml:space="preserve">§ </w:t>
      </w:r>
      <w:r w:rsidR="00962782">
        <w:t>7</w:t>
      </w:r>
      <w:r>
        <w:t xml:space="preserve"> </w:t>
      </w:r>
      <w:r w:rsidR="00CE1213" w:rsidRPr="00E9716F">
        <w:t>Sub-Bilanzkonten</w:t>
      </w:r>
      <w:bookmarkEnd w:id="11"/>
      <w:bookmarkEnd w:id="17"/>
    </w:p>
    <w:p w:rsidR="00CE1213" w:rsidRPr="00E9716F" w:rsidRDefault="00CE1213" w:rsidP="00817985">
      <w:pPr>
        <w:numPr>
          <w:ilvl w:val="0"/>
          <w:numId w:val="20"/>
        </w:numPr>
        <w:tabs>
          <w:tab w:val="clear" w:pos="360"/>
        </w:tabs>
        <w:ind w:left="567" w:hanging="567"/>
      </w:pPr>
      <w:r w:rsidRPr="00E9716F">
        <w:t>Im Rahmen eines bestehenden Bilanzkreises kann der Bilanzkreisverantwortliche Sub-Bilanzkonten bilden. Das Sub-Bilanzkonto ist ein Konto, das einem Bilanzkreis z</w:t>
      </w:r>
      <w:r w:rsidRPr="00E9716F">
        <w:t>u</w:t>
      </w:r>
      <w:r w:rsidRPr="00E9716F">
        <w:t>geordnet ist und die Zuordnung von Ein- und Ausspeisemengen zu Transportkunden und/oder die übersichtliche Darstellung von Teilmengen ermöglicht.</w:t>
      </w:r>
    </w:p>
    <w:p w:rsidR="00CE1213" w:rsidRDefault="00CE1213" w:rsidP="00817985">
      <w:pPr>
        <w:numPr>
          <w:ilvl w:val="0"/>
          <w:numId w:val="20"/>
        </w:numPr>
        <w:tabs>
          <w:tab w:val="clear" w:pos="360"/>
        </w:tabs>
        <w:ind w:left="567" w:hanging="567"/>
      </w:pPr>
      <w:r w:rsidRPr="00E9716F">
        <w:t>Der Bilanzkreisverantwortliche meldet die Bildung von Sub-Bilanzkonten unter Angabe der Bilanzkreisnummer bei dem M</w:t>
      </w:r>
      <w:r>
        <w:t>arktgebietsverantwortlichen</w:t>
      </w:r>
      <w:r w:rsidRPr="00E9716F">
        <w:t xml:space="preserve"> an. Unter Mitteilung einer Sub-Bilanzkontonummer bestätigt der M</w:t>
      </w:r>
      <w:r>
        <w:t>arktgebietsverantwortliche</w:t>
      </w:r>
      <w:r w:rsidRPr="00E9716F">
        <w:t xml:space="preserve"> dem Bilanzkreisv</w:t>
      </w:r>
      <w:r w:rsidRPr="00E9716F">
        <w:t>e</w:t>
      </w:r>
      <w:r w:rsidRPr="00E9716F">
        <w:t>rantwortlichen die Bildung eines Sub-Bilanzkontos.</w:t>
      </w:r>
      <w:r>
        <w:t xml:space="preserve"> </w:t>
      </w:r>
    </w:p>
    <w:p w:rsidR="00AA7A87" w:rsidRDefault="00E57AE7" w:rsidP="00817985">
      <w:pPr>
        <w:numPr>
          <w:ilvl w:val="0"/>
          <w:numId w:val="20"/>
        </w:numPr>
        <w:tabs>
          <w:tab w:val="clear" w:pos="360"/>
        </w:tabs>
        <w:ind w:left="567" w:hanging="567"/>
      </w:pPr>
      <w:r>
        <w:t>Sub-Bilanzkonten können mit einer Frist von 3 Monaten zum Ende eines Kalenderm</w:t>
      </w:r>
      <w:r>
        <w:t>o</w:t>
      </w:r>
      <w:r>
        <w:t>nats schriftlich</w:t>
      </w:r>
      <w:r w:rsidR="00E94D01">
        <w:t>, per E-Mail,</w:t>
      </w:r>
      <w:r>
        <w:t xml:space="preserve"> per Brief oder per Fax geschlossen werden.</w:t>
      </w:r>
      <w:r w:rsidR="00A6051A">
        <w:t xml:space="preserve"> Der Marktg</w:t>
      </w:r>
      <w:r w:rsidR="00A6051A">
        <w:t>e</w:t>
      </w:r>
      <w:r w:rsidR="00A6051A">
        <w:t xml:space="preserve">bietsverantwortliche kann eine entsprechende Möglichkeit zur Schließung von Sub-Bilanzkonten auch im Portal anbieten. </w:t>
      </w:r>
      <w:bookmarkStart w:id="18" w:name="_Toc297207915"/>
    </w:p>
    <w:p w:rsidR="00FE5BA3" w:rsidRDefault="00B03569" w:rsidP="00817985">
      <w:pPr>
        <w:numPr>
          <w:ilvl w:val="0"/>
          <w:numId w:val="20"/>
        </w:numPr>
        <w:tabs>
          <w:tab w:val="clear" w:pos="360"/>
        </w:tabs>
        <w:ind w:left="567" w:hanging="567"/>
      </w:pPr>
      <w:r>
        <w:t>Falls</w:t>
      </w:r>
      <w:r w:rsidR="00FE5BA3" w:rsidRPr="00B03569">
        <w:t xml:space="preserve"> Ein- und Ausspeisepunkte </w:t>
      </w:r>
      <w:r>
        <w:t xml:space="preserve">bei einem </w:t>
      </w:r>
      <w:r w:rsidR="00E74F0D">
        <w:t xml:space="preserve">durch den Netzbetreiber veranlassten </w:t>
      </w:r>
      <w:r>
        <w:t>Mark</w:t>
      </w:r>
      <w:r>
        <w:t>t</w:t>
      </w:r>
      <w:r>
        <w:t xml:space="preserve">gebietswechsel interimsweise </w:t>
      </w:r>
      <w:r w:rsidRPr="00B03569">
        <w:t xml:space="preserve">bilanziell im </w:t>
      </w:r>
      <w:r w:rsidR="00CC4DBD">
        <w:t>bisherige</w:t>
      </w:r>
      <w:r w:rsidR="00F06EAD">
        <w:t>n</w:t>
      </w:r>
      <w:r w:rsidRPr="00B03569">
        <w:t xml:space="preserve"> Marktgebiet </w:t>
      </w:r>
      <w:r>
        <w:t>verbleiben sollen, müssen diese in</w:t>
      </w:r>
      <w:r w:rsidR="00FE5BA3" w:rsidRPr="00B03569">
        <w:t xml:space="preserve"> </w:t>
      </w:r>
      <w:r>
        <w:t>einem gesonderten Bilanzkreis/</w:t>
      </w:r>
      <w:r w:rsidR="00FE5BA3" w:rsidRPr="00B03569">
        <w:t>Sub-Bilanzkonto</w:t>
      </w:r>
      <w:r>
        <w:t xml:space="preserve">, </w:t>
      </w:r>
      <w:r w:rsidR="00065816">
        <w:t>welcher/</w:t>
      </w:r>
      <w:r>
        <w:t>welches ausschlie</w:t>
      </w:r>
      <w:r w:rsidR="000A6813">
        <w:t>ß</w:t>
      </w:r>
      <w:r>
        <w:t>lich diese Ein- und Ausspeisepunkte enthält, geführt werden.</w:t>
      </w:r>
    </w:p>
    <w:p w:rsidR="00962782" w:rsidRDefault="00962782" w:rsidP="00962782">
      <w:pPr>
        <w:pStyle w:val="berschrift1"/>
      </w:pPr>
      <w:bookmarkStart w:id="19" w:name="_Toc297207917"/>
      <w:bookmarkStart w:id="20" w:name="_Toc476824411"/>
      <w:r>
        <w:t xml:space="preserve">§ 8 </w:t>
      </w:r>
      <w:r w:rsidRPr="00E9716F">
        <w:t>Zuordnung von Punkten zu Bilanzkreisen</w:t>
      </w:r>
      <w:bookmarkEnd w:id="19"/>
      <w:bookmarkEnd w:id="20"/>
    </w:p>
    <w:p w:rsidR="00962782" w:rsidRDefault="00962782" w:rsidP="00962782">
      <w:pPr>
        <w:numPr>
          <w:ilvl w:val="0"/>
          <w:numId w:val="23"/>
        </w:numPr>
      </w:pPr>
      <w:r w:rsidRPr="00846C3B">
        <w:t>Voraussetzung für die Bilanzierung von Gasmengen an physischen Ein- oder Ausspe</w:t>
      </w:r>
      <w:r w:rsidRPr="00846C3B">
        <w:t>i</w:t>
      </w:r>
      <w:r w:rsidRPr="00846C3B">
        <w:t>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rsidR="00962782" w:rsidRDefault="00962782" w:rsidP="00962782">
      <w:pPr>
        <w:numPr>
          <w:ilvl w:val="0"/>
          <w:numId w:val="23"/>
        </w:numPr>
      </w:pPr>
      <w:r w:rsidRPr="00846C3B">
        <w:t>Physische Ein- oder Ausspeisepunkte dürfen nur ihrer Gasqualität entsprechend (H- oder L-Gas) den Bilanzkreisen bzw. Sub-Bilanzkonten derselben Gasqualität (H- oder L-Gas) zugeordnet werden.</w:t>
      </w:r>
    </w:p>
    <w:p w:rsidR="00962782" w:rsidRPr="00237361" w:rsidRDefault="00962782" w:rsidP="00962782">
      <w:pPr>
        <w:numPr>
          <w:ilvl w:val="0"/>
          <w:numId w:val="23"/>
        </w:numPr>
      </w:pPr>
      <w:r w:rsidRPr="00846C3B">
        <w:t xml:space="preserve">Für die Bilanzierung </w:t>
      </w:r>
      <w:r w:rsidRPr="00237361">
        <w:t>von Gasmengen am VHP ist eine gesonderte Erklärung zur Zuor</w:t>
      </w:r>
      <w:r w:rsidRPr="00237361">
        <w:t>d</w:t>
      </w:r>
      <w:r w:rsidRPr="00237361">
        <w:t>nung nicht erforderlich. Der VHP gilt bereits mit Abschluss dieses Vertrages als in den Bilanzkreis zugeordnet. Bilanzkreise für beschränkt zuordenbare Kapazitäten enthalten nicht den VHP.</w:t>
      </w:r>
    </w:p>
    <w:p w:rsidR="00962782" w:rsidRPr="00314776" w:rsidRDefault="00962782" w:rsidP="00962782">
      <w:pPr>
        <w:numPr>
          <w:ilvl w:val="0"/>
          <w:numId w:val="23"/>
        </w:numPr>
      </w:pPr>
      <w:r w:rsidRPr="00846C3B">
        <w:t xml:space="preserve">Die zuzuordnenden </w:t>
      </w:r>
      <w:r w:rsidRPr="003F7C7B">
        <w:t>Punkte müssen in demselben Marktgebiet liegen, in dem der B</w:t>
      </w:r>
      <w:r w:rsidRPr="003F7C7B">
        <w:t>i</w:t>
      </w:r>
      <w:r w:rsidRPr="003F7C7B">
        <w:t xml:space="preserve">lanzkreis eingerichtet ist. In einen Bilanzkreis können Punkte eines oder mehrerer Transportkunden zugeordnet werden. Ein- und Ausspeisepunkte gemäß </w:t>
      </w:r>
      <w:r w:rsidRPr="00314776">
        <w:t xml:space="preserve">§ </w:t>
      </w:r>
      <w:r w:rsidR="00033264">
        <w:t>4</w:t>
      </w:r>
      <w:r w:rsidRPr="00314776">
        <w:t xml:space="preserve"> Ziffer 2 können in mehrere Bilanzkreise eingebracht werden.</w:t>
      </w:r>
      <w:r w:rsidR="00B70A92">
        <w:t xml:space="preserve"> </w:t>
      </w:r>
      <w:r w:rsidR="00B70A92" w:rsidRPr="00B70A92">
        <w:t>Ausgenommen hiervon sind Grenzübergangspunkte, die ausschließlich der Versorgung von Letztverbrauchern di</w:t>
      </w:r>
      <w:r w:rsidR="00B70A92" w:rsidRPr="00B70A92">
        <w:t>e</w:t>
      </w:r>
      <w:r w:rsidR="00E95452">
        <w:t xml:space="preserve">nen, bzw. </w:t>
      </w:r>
      <w:r w:rsidR="00B70A92" w:rsidRPr="00B70A92">
        <w:t>Einspeisepunkte aus inländischen Produktionsanlagen nach dem Verfahren Allokiert wie gemessen abgewickelt werden.</w:t>
      </w:r>
    </w:p>
    <w:p w:rsidR="00962782" w:rsidRPr="00E9716F" w:rsidRDefault="00962782" w:rsidP="00962782">
      <w:pPr>
        <w:pStyle w:val="berschrift1"/>
      </w:pPr>
      <w:bookmarkStart w:id="21" w:name="_Toc130898661"/>
      <w:bookmarkStart w:id="22" w:name="_Toc297207921"/>
      <w:bookmarkStart w:id="23" w:name="_Toc476824412"/>
      <w:r>
        <w:t xml:space="preserve">§ 9 </w:t>
      </w:r>
      <w:r w:rsidRPr="00E9716F">
        <w:t>Übertragung von Gasmengen zwischen Bilanzkreisen</w:t>
      </w:r>
      <w:bookmarkEnd w:id="21"/>
      <w:bookmarkEnd w:id="22"/>
      <w:bookmarkEnd w:id="23"/>
    </w:p>
    <w:p w:rsidR="00962782" w:rsidRPr="005B621D" w:rsidRDefault="00962782" w:rsidP="00962782">
      <w:pPr>
        <w:numPr>
          <w:ilvl w:val="0"/>
          <w:numId w:val="25"/>
        </w:numPr>
      </w:pPr>
      <w:r w:rsidRPr="00E9716F">
        <w:t xml:space="preserve">Der Bilanzkreisverantwortliche kann am VHP Gasmengen innerhalb des Marktgebietes von einem </w:t>
      </w:r>
      <w:r>
        <w:t>H-Gas-</w:t>
      </w:r>
      <w:r w:rsidRPr="00E9716F">
        <w:t>Bilanzkreis</w:t>
      </w:r>
      <w:r>
        <w:t xml:space="preserve"> ausschließlich</w:t>
      </w:r>
      <w:r w:rsidRPr="00E9716F">
        <w:t xml:space="preserve"> in einen anderen </w:t>
      </w:r>
      <w:r>
        <w:t>H-Gas-</w:t>
      </w:r>
      <w:r w:rsidRPr="00E9716F">
        <w:t>Bilanzkreis</w:t>
      </w:r>
      <w:r>
        <w:t xml:space="preserve"> und von einem L-Gas-Bilanzkreis ausschließlich in einen anderen L-Gas-Bilanzkreis über den VHP</w:t>
      </w:r>
      <w:r w:rsidRPr="00E9716F">
        <w:t xml:space="preserve"> übertragen. Die Übertragung </w:t>
      </w:r>
      <w:r w:rsidRPr="005B621D">
        <w:t>von Gasmengen zwischen Bilanzkreisen am VHP erfordert keine Transportkapazitäten. Der Marktgebietsverantwortliche kann die Übertragung von Gasmengen auch zwischen Sub-Bilanzkonten in ergänzenden G</w:t>
      </w:r>
      <w:r w:rsidRPr="005B621D">
        <w:t>e</w:t>
      </w:r>
      <w:r w:rsidRPr="005B621D">
        <w:t>schäftsbedingungen vorsehen.</w:t>
      </w:r>
    </w:p>
    <w:p w:rsidR="00962782" w:rsidRDefault="00962782" w:rsidP="00962782">
      <w:pPr>
        <w:numPr>
          <w:ilvl w:val="0"/>
          <w:numId w:val="25"/>
        </w:numPr>
      </w:pPr>
      <w:r w:rsidRPr="00F557B0">
        <w:t xml:space="preserve">Der Bilanzkreisverantwortliche hat die zu übertragenden Gasmengen am VHP auf Stundenbasis gegenüber dem Marktgebietsverantwortlichen zu nominieren. </w:t>
      </w:r>
      <w:r w:rsidRPr="00F557B0">
        <w:rPr>
          <w:bCs/>
        </w:rPr>
        <w:t>Nomini</w:t>
      </w:r>
      <w:r w:rsidRPr="00F557B0">
        <w:rPr>
          <w:bCs/>
        </w:rPr>
        <w:t>e</w:t>
      </w:r>
      <w:r w:rsidRPr="00F557B0">
        <w:rPr>
          <w:bCs/>
        </w:rPr>
        <w:t>rungen können vom Bilanzkreisve</w:t>
      </w:r>
      <w:r>
        <w:rPr>
          <w:bCs/>
        </w:rPr>
        <w:t>rantwortlichen im Format Edig@s</w:t>
      </w:r>
      <w:r w:rsidRPr="00F557B0">
        <w:rPr>
          <w:bCs/>
        </w:rPr>
        <w:t xml:space="preserve"> </w:t>
      </w:r>
      <w:r>
        <w:rPr>
          <w:bCs/>
        </w:rPr>
        <w:t xml:space="preserve">via AS 2 </w:t>
      </w:r>
      <w:r w:rsidRPr="00F557B0">
        <w:rPr>
          <w:bCs/>
        </w:rPr>
        <w:t xml:space="preserve">und/oder über eine webbasierte Eingabemaske abgegeben werden. </w:t>
      </w:r>
      <w:r>
        <w:rPr>
          <w:bCs/>
        </w:rPr>
        <w:t>Der Marktgebietsverantwor</w:t>
      </w:r>
      <w:r>
        <w:rPr>
          <w:bCs/>
        </w:rPr>
        <w:t>t</w:t>
      </w:r>
      <w:r>
        <w:rPr>
          <w:bCs/>
        </w:rPr>
        <w:t>liche kann zusätzlich eine alternative Übermittlungsmethodik für die Nominierung anbi</w:t>
      </w:r>
      <w:r>
        <w:rPr>
          <w:bCs/>
        </w:rPr>
        <w:t>e</w:t>
      </w:r>
      <w:r>
        <w:rPr>
          <w:bCs/>
        </w:rPr>
        <w:t xml:space="preserve">ten. </w:t>
      </w:r>
      <w:r w:rsidRPr="00F557B0">
        <w:t>Die Allokation der übertragenen Gasmengen am VHP erfolgt auf der Basis nom</w:t>
      </w:r>
      <w:r w:rsidRPr="00F557B0">
        <w:t>i</w:t>
      </w:r>
      <w:r w:rsidRPr="00F557B0">
        <w:t>nierter Werte.</w:t>
      </w:r>
      <w:r w:rsidRPr="00F557B0" w:rsidDel="00E77BF7">
        <w:t xml:space="preserve"> </w:t>
      </w:r>
    </w:p>
    <w:p w:rsidR="00962782" w:rsidRDefault="00962782" w:rsidP="00962782">
      <w:pPr>
        <w:numPr>
          <w:ilvl w:val="0"/>
          <w:numId w:val="25"/>
        </w:numPr>
        <w:spacing w:after="0"/>
      </w:pPr>
      <w:r>
        <w:t>a)</w:t>
      </w:r>
      <w:r>
        <w:tab/>
      </w:r>
      <w:r w:rsidRPr="009D36A5">
        <w:t>Der Bilanzkreisverantwortliche ist verpflichtet, für die Übertragung von Gasmengen</w:t>
      </w:r>
    </w:p>
    <w:p w:rsidR="00962782" w:rsidRPr="00973A26" w:rsidRDefault="00962782" w:rsidP="00962782">
      <w:pPr>
        <w:ind w:left="851"/>
      </w:pPr>
      <w:r w:rsidRPr="009D36A5">
        <w:t>über den VHP das von dem Marktgebietsverantwortlichen im Internet veröffentlichte Entgelt in</w:t>
      </w:r>
      <w:r>
        <w:t xml:space="preserve"> EUR/</w:t>
      </w:r>
      <w:r w:rsidRPr="009D36A5">
        <w:t>MWh zu zahlen. Die Höhe des VHP-Entgelts wird einen Monat vor Beginn des Geltungszeitraums auf seiner Internetseite veröffentlicht</w:t>
      </w:r>
      <w:r>
        <w:t xml:space="preserve">. </w:t>
      </w:r>
    </w:p>
    <w:p w:rsidR="00962782" w:rsidRDefault="00962782" w:rsidP="00962782">
      <w:pPr>
        <w:numPr>
          <w:ilvl w:val="0"/>
          <w:numId w:val="80"/>
        </w:numPr>
      </w:pPr>
      <w:r w:rsidRPr="009C03AC">
        <w:t>Das VHP-Entgelt gilt für die Dauer von zwölf Monaten. Beginn des Geltungszeitra</w:t>
      </w:r>
      <w:r w:rsidRPr="009C03AC">
        <w:t>u</w:t>
      </w:r>
      <w:r w:rsidRPr="009C03AC">
        <w:t>mes ist der 1.</w:t>
      </w:r>
      <w:r>
        <w:t xml:space="preserve"> Oktober</w:t>
      </w:r>
      <w:r w:rsidRPr="009C03AC">
        <w:t xml:space="preserve"> eines Kalenderjahres.</w:t>
      </w:r>
    </w:p>
    <w:p w:rsidR="00962782" w:rsidRDefault="00962782" w:rsidP="00962782">
      <w:pPr>
        <w:numPr>
          <w:ilvl w:val="0"/>
          <w:numId w:val="80"/>
        </w:numPr>
      </w:pPr>
      <w:r w:rsidRPr="009C03AC">
        <w:t>Das Entgelt wird jeweils sowohl dem Bilanzkreisverantwortlichen des abgebenden als auch dem Bilanzkreisverantwortlichen des aufnehmenden Bilanzkreises in Rec</w:t>
      </w:r>
      <w:r w:rsidRPr="009C03AC">
        <w:t>h</w:t>
      </w:r>
      <w:r w:rsidRPr="009C03AC">
        <w:t xml:space="preserve">nung gestellt. </w:t>
      </w:r>
    </w:p>
    <w:p w:rsidR="00962782" w:rsidRDefault="00962782" w:rsidP="00962782">
      <w:pPr>
        <w:numPr>
          <w:ilvl w:val="0"/>
          <w:numId w:val="80"/>
        </w:numPr>
      </w:pPr>
      <w:r w:rsidRPr="009C03AC">
        <w:t>Das VHP-Entgelt wird bei jeder nominierten Übertragung von Gasmengen zwischen zwei Bilanzkreisen am VHP erhoben. Übertragungen von Gasmengen zwischen U</w:t>
      </w:r>
      <w:r w:rsidRPr="009C03AC">
        <w:t>n</w:t>
      </w:r>
      <w:r w:rsidRPr="009C03AC">
        <w:t>terbilanzkreisen und Sub</w:t>
      </w:r>
      <w:r>
        <w:t>-B</w:t>
      </w:r>
      <w:r w:rsidRPr="009C03AC">
        <w:t>ilanzkonten sind eingeschlossen, sofern diese Übertr</w:t>
      </w:r>
      <w:r w:rsidRPr="009C03AC">
        <w:t>a</w:t>
      </w:r>
      <w:r w:rsidRPr="009C03AC">
        <w:t>gungen am VHP separat nominiert wurden.</w:t>
      </w:r>
    </w:p>
    <w:p w:rsidR="00962782" w:rsidRDefault="00962782" w:rsidP="00962782">
      <w:pPr>
        <w:numPr>
          <w:ilvl w:val="0"/>
          <w:numId w:val="80"/>
        </w:numPr>
      </w:pPr>
      <w:r w:rsidRPr="009C03AC">
        <w:t>Für die Ausgestaltung des VHP-Entgelts gelten folgende Anforderungen:</w:t>
      </w:r>
    </w:p>
    <w:p w:rsidR="00962782" w:rsidRDefault="00962782" w:rsidP="00962782">
      <w:pPr>
        <w:numPr>
          <w:ilvl w:val="0"/>
          <w:numId w:val="81"/>
        </w:numPr>
      </w:pPr>
      <w:r w:rsidRPr="009C03AC">
        <w:t>Es werden ausschließlich variable VHP-Entgelte, ohne Staffelung, auf Grun</w:t>
      </w:r>
      <w:r w:rsidRPr="009C03AC">
        <w:t>d</w:t>
      </w:r>
      <w:r w:rsidRPr="009C03AC">
        <w:t>la</w:t>
      </w:r>
      <w:r>
        <w:t xml:space="preserve">ge der am VHP nominierten </w:t>
      </w:r>
      <w:r w:rsidRPr="009C03AC">
        <w:t>Gasmenge erhoben.</w:t>
      </w:r>
    </w:p>
    <w:p w:rsidR="00962782" w:rsidRDefault="00962782" w:rsidP="00962782">
      <w:pPr>
        <w:numPr>
          <w:ilvl w:val="0"/>
          <w:numId w:val="81"/>
        </w:numPr>
      </w:pPr>
      <w:r w:rsidRPr="009C03AC">
        <w:t xml:space="preserve">Die Obergrenze für die VHP-Entgelte beträgt 0,8 </w:t>
      </w:r>
      <w:r>
        <w:t>ct/</w:t>
      </w:r>
      <w:r w:rsidRPr="009C03AC">
        <w:t>MWh.</w:t>
      </w:r>
    </w:p>
    <w:p w:rsidR="00962782" w:rsidRDefault="00962782" w:rsidP="00962782">
      <w:pPr>
        <w:numPr>
          <w:ilvl w:val="0"/>
          <w:numId w:val="81"/>
        </w:numPr>
      </w:pPr>
      <w:r w:rsidRPr="009C03AC">
        <w:t>Der Marktgebietsverantwortliche bestimmt das VHP-Entgelt unter Berücksic</w:t>
      </w:r>
      <w:r w:rsidRPr="009C03AC">
        <w:t>h</w:t>
      </w:r>
      <w:r w:rsidRPr="009C03AC">
        <w:t>tigun</w:t>
      </w:r>
      <w:r>
        <w:t xml:space="preserve">g der VHP-Kosten sowie unter </w:t>
      </w:r>
      <w:r w:rsidRPr="009C03AC">
        <w:t xml:space="preserve">Einhaltung der festgesetzten Obergrenze gemäß lit. e) bb) ex-ante für den jeweiligen </w:t>
      </w:r>
      <w:r>
        <w:t xml:space="preserve">Zeitraum. Das VHP-Entgelt wird </w:t>
      </w:r>
      <w:r w:rsidRPr="009C03AC">
        <w:t>als Quotient aus den prognostizierten VHP-Kosten und der prognostizierten Ha</w:t>
      </w:r>
      <w:r w:rsidRPr="009C03AC">
        <w:t>n</w:t>
      </w:r>
      <w:r w:rsidRPr="009C03AC">
        <w:t>delsmenge ermittelt.</w:t>
      </w:r>
    </w:p>
    <w:p w:rsidR="00962782" w:rsidRDefault="00962782" w:rsidP="00962782">
      <w:pPr>
        <w:numPr>
          <w:ilvl w:val="0"/>
          <w:numId w:val="81"/>
        </w:numPr>
      </w:pPr>
      <w:r w:rsidRPr="009C03AC">
        <w:t>Residualkosten oder Residualerlöse, die sich aus Differenzen zwischen Kosten u</w:t>
      </w:r>
      <w:r>
        <w:t xml:space="preserve">nd Erlösen ergeben, hat der </w:t>
      </w:r>
      <w:r w:rsidRPr="009C03AC">
        <w:t>Marktgebietsverantwortliche zum nächsten Ge</w:t>
      </w:r>
      <w:r w:rsidRPr="009C03AC">
        <w:t>l</w:t>
      </w:r>
      <w:r w:rsidRPr="009C03AC">
        <w:t>tungszeitraum durch eine entsprechende Anpassung seiner Prognose zu b</w:t>
      </w:r>
      <w:r w:rsidRPr="009C03AC">
        <w:t>e</w:t>
      </w:r>
      <w:r w:rsidRPr="009C03AC">
        <w:t>rücksichtigen.</w:t>
      </w:r>
    </w:p>
    <w:p w:rsidR="00962782" w:rsidRDefault="00962782" w:rsidP="00962782">
      <w:pPr>
        <w:numPr>
          <w:ilvl w:val="0"/>
          <w:numId w:val="80"/>
        </w:numPr>
      </w:pPr>
      <w:r w:rsidRPr="009C03AC">
        <w:t>Clearinghäuser sind von der Zahlung von VHP-Entgelten freigestellt, soweit in dem jeweiligen Handelsgeschäft sonst eine doppelte Erhebung der VHP-Entgelte stattfi</w:t>
      </w:r>
      <w:r w:rsidRPr="009C03AC">
        <w:t>n</w:t>
      </w:r>
      <w:r w:rsidRPr="009C03AC">
        <w:t>den würde.</w:t>
      </w:r>
    </w:p>
    <w:p w:rsidR="00BE159F" w:rsidRDefault="00BE159F" w:rsidP="00BE159F">
      <w:pPr>
        <w:pStyle w:val="berschrift1"/>
      </w:pPr>
      <w:bookmarkStart w:id="24" w:name="_Toc297207922"/>
      <w:bookmarkStart w:id="25" w:name="_Toc476824413"/>
      <w:r>
        <w:t xml:space="preserve">§ 10 </w:t>
      </w:r>
      <w:r w:rsidRPr="00E9716F">
        <w:t>Nominierungen am VHP</w:t>
      </w:r>
      <w:bookmarkEnd w:id="24"/>
      <w:bookmarkEnd w:id="25"/>
    </w:p>
    <w:p w:rsidR="00BE159F" w:rsidRPr="00E9716F" w:rsidRDefault="00BE159F" w:rsidP="00BE159F">
      <w:pPr>
        <w:numPr>
          <w:ilvl w:val="0"/>
          <w:numId w:val="26"/>
        </w:numPr>
      </w:pPr>
      <w:r w:rsidRPr="00E9716F">
        <w:t xml:space="preserve">Die Übertragung von Gasmengen erfolgt für jede Stunde eines Tages durch </w:t>
      </w:r>
      <w:r>
        <w:t>2</w:t>
      </w:r>
      <w:r w:rsidRPr="00E9716F">
        <w:t xml:space="preserve"> gege</w:t>
      </w:r>
      <w:r w:rsidRPr="00E9716F">
        <w:t>n</w:t>
      </w:r>
      <w:r w:rsidRPr="00E9716F">
        <w:t>gleiche Nominierungen für den VHP durch die Bilanzkreisverantwortlichen der an der Übertragung beteiligten Bilanzkreise</w:t>
      </w:r>
      <w:r>
        <w:t xml:space="preserve"> der gleichen Gasqualität</w:t>
      </w:r>
      <w:r w:rsidRPr="00E9716F">
        <w:t>.</w:t>
      </w:r>
    </w:p>
    <w:p w:rsidR="00BE159F" w:rsidRPr="00E9716F" w:rsidRDefault="00BE159F" w:rsidP="00BE159F">
      <w:pPr>
        <w:numPr>
          <w:ilvl w:val="0"/>
          <w:numId w:val="26"/>
        </w:numPr>
      </w:pPr>
      <w:r w:rsidRPr="00E9716F">
        <w:t>Dabei nominiert der Bilanzkreisverantwortliche des abgebenden Bilanzkreises die zu übertragenden stündlichen Gasmengen am VHP als Ausspeisung und der Bilanzkrei</w:t>
      </w:r>
      <w:r w:rsidRPr="00E9716F">
        <w:t>s</w:t>
      </w:r>
      <w:r w:rsidRPr="00E9716F">
        <w:t>verantwortliche des aufnehmenden Bilanzkreises die gleichen Stundenmengen am VHP als Einspeisung.</w:t>
      </w:r>
    </w:p>
    <w:p w:rsidR="00BE159F" w:rsidRPr="00E9716F" w:rsidRDefault="00BE159F" w:rsidP="00BE159F">
      <w:pPr>
        <w:numPr>
          <w:ilvl w:val="0"/>
          <w:numId w:val="26"/>
        </w:numPr>
      </w:pPr>
      <w:r w:rsidRPr="00E9716F">
        <w:t>Der Bilanzkreisverantwortliche meldet dem M</w:t>
      </w:r>
      <w:r>
        <w:t>arktgebietsverantwortlichen</w:t>
      </w:r>
      <w:r w:rsidRPr="00E9716F">
        <w:t xml:space="preserve"> täglich die zu übertragenden Stundenmengen für den Folgetag an. Diese </w:t>
      </w:r>
      <w:r>
        <w:t>Anmeldung muss am Vo</w:t>
      </w:r>
      <w:r>
        <w:t>r</w:t>
      </w:r>
      <w:r>
        <w:t>tag bis 14:00 </w:t>
      </w:r>
      <w:r w:rsidRPr="00E9716F">
        <w:t>Uhr eintreffen. Nominierungen können für mehrere Tage im Vorhinein a</w:t>
      </w:r>
      <w:r w:rsidRPr="00E9716F">
        <w:t>b</w:t>
      </w:r>
      <w:r w:rsidRPr="00E9716F">
        <w:t>gegeben werden.</w:t>
      </w:r>
    </w:p>
    <w:p w:rsidR="00BE159F" w:rsidRDefault="00BE159F" w:rsidP="00BE159F">
      <w:pPr>
        <w:numPr>
          <w:ilvl w:val="0"/>
          <w:numId w:val="26"/>
        </w:numPr>
      </w:pPr>
      <w:r w:rsidRPr="00E9716F">
        <w:t>Die Nominierungen müssen unter anderem folgende Daten enthalten:</w:t>
      </w:r>
    </w:p>
    <w:p w:rsidR="00BE159F" w:rsidRDefault="00BE159F" w:rsidP="00BE159F">
      <w:pPr>
        <w:pStyle w:val="BulletPGL2"/>
        <w:numPr>
          <w:ilvl w:val="0"/>
          <w:numId w:val="67"/>
        </w:numPr>
        <w:tabs>
          <w:tab w:val="left" w:pos="993"/>
        </w:tabs>
        <w:ind w:left="993" w:hanging="426"/>
      </w:pPr>
      <w:r w:rsidRPr="00E9716F">
        <w:t>Bilanzkreisnummern des abgebenden und aufnehmenden Bilanzkreises;</w:t>
      </w:r>
    </w:p>
    <w:p w:rsidR="00BE159F" w:rsidRDefault="00BE159F" w:rsidP="00BE159F">
      <w:pPr>
        <w:pStyle w:val="BulletPGL2"/>
        <w:numPr>
          <w:ilvl w:val="0"/>
          <w:numId w:val="67"/>
        </w:numPr>
        <w:tabs>
          <w:tab w:val="left" w:pos="993"/>
        </w:tabs>
        <w:ind w:left="993" w:hanging="426"/>
      </w:pPr>
      <w:r>
        <w:t>Kennung</w:t>
      </w:r>
      <w:r w:rsidRPr="00E9716F">
        <w:t xml:space="preserve"> des VHP;</w:t>
      </w:r>
    </w:p>
    <w:p w:rsidR="00BE159F" w:rsidRDefault="00BE159F" w:rsidP="00BE159F">
      <w:pPr>
        <w:pStyle w:val="BulletPGL2"/>
        <w:numPr>
          <w:ilvl w:val="0"/>
          <w:numId w:val="67"/>
        </w:numPr>
        <w:tabs>
          <w:tab w:val="left" w:pos="993"/>
        </w:tabs>
        <w:ind w:left="993" w:hanging="426"/>
      </w:pPr>
      <w:r>
        <w:t>d</w:t>
      </w:r>
      <w:r w:rsidRPr="00E9716F">
        <w:t>ie zwischen den Bilanzkreisen zu übertragenden Stundenmengen als ganzzahlige Werte in kWh</w:t>
      </w:r>
      <w:r>
        <w:t xml:space="preserve"> oder wenn vom Marktgebietsverantwortlichen angeboten, ein</w:t>
      </w:r>
      <w:r w:rsidR="00A331A2">
        <w:t>e durch 24 teilbare Tagesmenge.</w:t>
      </w:r>
    </w:p>
    <w:p w:rsidR="00BE159F" w:rsidRDefault="00BE159F" w:rsidP="00BE159F">
      <w:pPr>
        <w:numPr>
          <w:ilvl w:val="0"/>
          <w:numId w:val="26"/>
        </w:numPr>
      </w:pPr>
      <w:r w:rsidRPr="00E9716F">
        <w:rPr>
          <w:rFonts w:eastAsia="Arial"/>
        </w:rPr>
        <w:t>Der Bilanzkreisverantwortliche kann seine bereits nominierten Gasmengen bei dem M</w:t>
      </w:r>
      <w:r>
        <w:rPr>
          <w:rFonts w:eastAsia="Arial"/>
        </w:rPr>
        <w:t>arktgebietsverantwortlichen</w:t>
      </w:r>
      <w:r w:rsidRPr="00E9716F">
        <w:rPr>
          <w:rFonts w:eastAsia="Arial"/>
        </w:rPr>
        <w:t xml:space="preserve"> nur für einen zukünftigen Zeitraum durch eine Renomini</w:t>
      </w:r>
      <w:r w:rsidRPr="00E9716F">
        <w:rPr>
          <w:rFonts w:eastAsia="Arial"/>
        </w:rPr>
        <w:t>e</w:t>
      </w:r>
      <w:r w:rsidRPr="00E9716F">
        <w:rPr>
          <w:rFonts w:eastAsia="Arial"/>
        </w:rPr>
        <w:t xml:space="preserve">rung ändern. </w:t>
      </w:r>
      <w:r>
        <w:rPr>
          <w:rFonts w:eastAsia="Arial"/>
        </w:rPr>
        <w:t>Dabei</w:t>
      </w:r>
      <w:r w:rsidRPr="00E9716F">
        <w:rPr>
          <w:rFonts w:eastAsia="Arial"/>
        </w:rPr>
        <w:t xml:space="preserve"> gilt eine Vorlaufzeit von </w:t>
      </w:r>
      <w:r>
        <w:rPr>
          <w:rFonts w:eastAsia="Arial"/>
        </w:rPr>
        <w:t>30</w:t>
      </w:r>
      <w:r w:rsidRPr="00E9716F">
        <w:rPr>
          <w:rFonts w:eastAsia="Arial"/>
        </w:rPr>
        <w:t xml:space="preserve"> </w:t>
      </w:r>
      <w:r>
        <w:rPr>
          <w:rFonts w:eastAsia="Arial"/>
        </w:rPr>
        <w:t>vollen Minuten</w:t>
      </w:r>
      <w:r w:rsidRPr="00E9716F">
        <w:rPr>
          <w:rFonts w:eastAsia="Arial"/>
        </w:rPr>
        <w:t xml:space="preserve"> </w:t>
      </w:r>
      <w:r>
        <w:rPr>
          <w:rFonts w:eastAsia="Arial"/>
        </w:rPr>
        <w:t>zur</w:t>
      </w:r>
      <w:r w:rsidRPr="00E9716F">
        <w:rPr>
          <w:rFonts w:eastAsia="Arial"/>
        </w:rPr>
        <w:t xml:space="preserve"> nächsten vollen Stunde, bevor geänderte Werte wirksam werden. Der Bilanzkreisverantwortliche hat die Möglichkeit, für jede Stunde des Gastages zu renominieren. Der Renominierungs-Annahmeschluss für die letzte Stunde d</w:t>
      </w:r>
      <w:r>
        <w:rPr>
          <w:rFonts w:eastAsia="Arial"/>
        </w:rPr>
        <w:t>es aktuellen Gastages ist 4:29 </w:t>
      </w:r>
      <w:r w:rsidRPr="00E9716F">
        <w:rPr>
          <w:rFonts w:eastAsia="Arial"/>
        </w:rPr>
        <w:t xml:space="preserve">Uhr. Sobald für den abgebenden und/oder aufnehmenden Bilanzkreis eine Renominierung durch </w:t>
      </w:r>
      <w:r w:rsidRPr="003F7C7B">
        <w:rPr>
          <w:rFonts w:eastAsia="Arial"/>
        </w:rPr>
        <w:t>einen Bilanzkreisverantwortlichen eingeht, erfolgt ein Matching der Renominierungen en</w:t>
      </w:r>
      <w:r w:rsidRPr="003F7C7B">
        <w:rPr>
          <w:rFonts w:eastAsia="Arial"/>
        </w:rPr>
        <w:t>t</w:t>
      </w:r>
      <w:r w:rsidRPr="003F7C7B">
        <w:rPr>
          <w:rFonts w:eastAsia="Arial"/>
        </w:rPr>
        <w:t>sprechend Ziffer </w:t>
      </w:r>
      <w:r>
        <w:rPr>
          <w:rFonts w:eastAsia="Arial"/>
        </w:rPr>
        <w:t>8</w:t>
      </w:r>
      <w:r w:rsidRPr="003F7C7B">
        <w:t>.</w:t>
      </w:r>
    </w:p>
    <w:p w:rsidR="00BE159F" w:rsidRPr="00395553" w:rsidRDefault="00BE159F" w:rsidP="00BE159F">
      <w:pPr>
        <w:numPr>
          <w:ilvl w:val="0"/>
          <w:numId w:val="26"/>
        </w:numPr>
        <w:rPr>
          <w:rFonts w:eastAsia="Arial"/>
        </w:rPr>
      </w:pPr>
      <w:r w:rsidRPr="00AB4810">
        <w:rPr>
          <w:rFonts w:eastAsia="Arial"/>
          <w:iCs/>
        </w:rPr>
        <w:t xml:space="preserve">Bei einer per Edig@s via AS2 </w:t>
      </w:r>
      <w:r>
        <w:rPr>
          <w:rFonts w:eastAsia="Arial"/>
          <w:iCs/>
        </w:rPr>
        <w:t xml:space="preserve">übersandten </w:t>
      </w:r>
      <w:r w:rsidRPr="00AB4810">
        <w:rPr>
          <w:rFonts w:eastAsia="Arial"/>
          <w:iCs/>
        </w:rPr>
        <w:t>Nominierung bzw. Renominierung</w:t>
      </w:r>
      <w:r>
        <w:rPr>
          <w:rFonts w:eastAsia="Arial"/>
          <w:iCs/>
        </w:rPr>
        <w:t xml:space="preserve"> </w:t>
      </w:r>
      <w:r w:rsidRPr="00AB4810">
        <w:rPr>
          <w:rFonts w:eastAsia="Arial"/>
          <w:iCs/>
        </w:rPr>
        <w:t>erhält der Bilanzkreisverantwortliche automatisch ei</w:t>
      </w:r>
      <w:r>
        <w:rPr>
          <w:rFonts w:eastAsia="Arial"/>
          <w:iCs/>
        </w:rPr>
        <w:t xml:space="preserve">ne Empfangsbestätigung via </w:t>
      </w:r>
      <w:r w:rsidRPr="00AB4810">
        <w:rPr>
          <w:rFonts w:eastAsia="Arial"/>
          <w:iCs/>
        </w:rPr>
        <w:t xml:space="preserve">AS2. </w:t>
      </w:r>
      <w:r>
        <w:rPr>
          <w:rFonts w:eastAsia="Arial"/>
          <w:iCs/>
        </w:rPr>
        <w:t xml:space="preserve">Sofern vom Marktgebietsverantwortlichen nach </w:t>
      </w:r>
      <w:r w:rsidRPr="00E46686">
        <w:rPr>
          <w:rFonts w:eastAsia="Arial"/>
          <w:iCs/>
        </w:rPr>
        <w:t xml:space="preserve">§ </w:t>
      </w:r>
      <w:r w:rsidR="00033264">
        <w:rPr>
          <w:rFonts w:eastAsia="Arial"/>
          <w:iCs/>
        </w:rPr>
        <w:t>9</w:t>
      </w:r>
      <w:r w:rsidRPr="005D727F">
        <w:rPr>
          <w:rFonts w:eastAsia="Arial"/>
          <w:iCs/>
        </w:rPr>
        <w:t xml:space="preserve"> Ziffer 2 Satz 3 eine</w:t>
      </w:r>
      <w:r>
        <w:rPr>
          <w:rFonts w:eastAsia="Arial"/>
          <w:iCs/>
        </w:rPr>
        <w:t xml:space="preserve"> alternative Übermittlungsm</w:t>
      </w:r>
      <w:r>
        <w:rPr>
          <w:rFonts w:eastAsia="Arial"/>
          <w:iCs/>
        </w:rPr>
        <w:t>e</w:t>
      </w:r>
      <w:r>
        <w:rPr>
          <w:rFonts w:eastAsia="Arial"/>
          <w:iCs/>
        </w:rPr>
        <w:t xml:space="preserve">thodik angeboten wird, erhält der Bilanzkreisverantwortliche die Empfangsbestätigung auf entsprechendem Weg. </w:t>
      </w:r>
      <w:r w:rsidRPr="00AB4810">
        <w:rPr>
          <w:rFonts w:eastAsia="Arial"/>
          <w:iCs/>
        </w:rPr>
        <w:t>Falls die Empfangsbestätigung ausbleibt, ist der Bilanzkrei</w:t>
      </w:r>
      <w:r w:rsidRPr="00AB4810">
        <w:rPr>
          <w:rFonts w:eastAsia="Arial"/>
          <w:iCs/>
        </w:rPr>
        <w:t>s</w:t>
      </w:r>
      <w:r w:rsidRPr="00AB4810">
        <w:rPr>
          <w:rFonts w:eastAsia="Arial"/>
          <w:iCs/>
        </w:rPr>
        <w:t>verantwortliche verpflichtet, das VHP-Dispatching im Falle einer Day-</w:t>
      </w:r>
      <w:r>
        <w:rPr>
          <w:rFonts w:eastAsia="Arial"/>
          <w:iCs/>
        </w:rPr>
        <w:t>A</w:t>
      </w:r>
      <w:r w:rsidRPr="00AB4810">
        <w:rPr>
          <w:rFonts w:eastAsia="Arial"/>
          <w:iCs/>
        </w:rPr>
        <w:t>head Nomini</w:t>
      </w:r>
      <w:r w:rsidRPr="00AB4810">
        <w:rPr>
          <w:rFonts w:eastAsia="Arial"/>
          <w:iCs/>
        </w:rPr>
        <w:t>e</w:t>
      </w:r>
      <w:r w:rsidRPr="00AB4810">
        <w:rPr>
          <w:rFonts w:eastAsia="Arial"/>
          <w:iCs/>
        </w:rPr>
        <w:t>rung spätestens bis 14:15 Uhr am Gastag D-1 bzw. im Falle einer Day-</w:t>
      </w:r>
      <w:r>
        <w:rPr>
          <w:rFonts w:eastAsia="Arial"/>
          <w:iCs/>
        </w:rPr>
        <w:t>A</w:t>
      </w:r>
      <w:r w:rsidRPr="00AB4810">
        <w:rPr>
          <w:rFonts w:eastAsia="Arial"/>
          <w:iCs/>
        </w:rPr>
        <w:t>head Renom</w:t>
      </w:r>
      <w:r w:rsidRPr="00AB4810">
        <w:rPr>
          <w:rFonts w:eastAsia="Arial"/>
          <w:iCs/>
        </w:rPr>
        <w:t>i</w:t>
      </w:r>
      <w:r w:rsidRPr="00AB4810">
        <w:rPr>
          <w:rFonts w:eastAsia="Arial"/>
          <w:iCs/>
        </w:rPr>
        <w:t>nierung nach 14:15 Uhr</w:t>
      </w:r>
      <w:r>
        <w:rPr>
          <w:rFonts w:eastAsia="Arial"/>
          <w:iCs/>
        </w:rPr>
        <w:t xml:space="preserve"> am Gastag D-1 </w:t>
      </w:r>
      <w:r w:rsidRPr="00AB4810">
        <w:rPr>
          <w:rFonts w:eastAsia="Arial"/>
          <w:iCs/>
        </w:rPr>
        <w:t>unverzüglich davon zu unterrichten, dass er keine Empfangsbestätigung erhalten hat. In einem solchen Fall haben sich das VHP-Dispatching und der Bilanzkreisverantwortliche über das weitere Vorgehen zu verstä</w:t>
      </w:r>
      <w:r w:rsidRPr="00AB4810">
        <w:rPr>
          <w:rFonts w:eastAsia="Arial"/>
          <w:iCs/>
        </w:rPr>
        <w:t>n</w:t>
      </w:r>
      <w:r w:rsidRPr="00AB4810">
        <w:rPr>
          <w:rFonts w:eastAsia="Arial"/>
          <w:iCs/>
        </w:rPr>
        <w:t>digen.</w:t>
      </w:r>
    </w:p>
    <w:p w:rsidR="00BE159F" w:rsidRPr="00E9716F" w:rsidRDefault="00BE159F" w:rsidP="00BE159F">
      <w:pPr>
        <w:numPr>
          <w:ilvl w:val="0"/>
          <w:numId w:val="26"/>
        </w:numPr>
      </w:pPr>
      <w:r w:rsidRPr="003F7C7B">
        <w:t>Es werden die übereinstimmenden Nominierungen</w:t>
      </w:r>
      <w:r w:rsidRPr="00E9716F">
        <w:t xml:space="preserve"> allokiert.</w:t>
      </w:r>
    </w:p>
    <w:p w:rsidR="00BE159F" w:rsidRPr="00E9716F" w:rsidRDefault="00BE159F" w:rsidP="00BE159F">
      <w:pPr>
        <w:numPr>
          <w:ilvl w:val="0"/>
          <w:numId w:val="26"/>
        </w:numPr>
      </w:pPr>
      <w:r w:rsidRPr="00E9716F">
        <w:t>Die eingehenden Nominierungen werden durch den M</w:t>
      </w:r>
      <w:r>
        <w:t>arktgebietsverantwortlichen</w:t>
      </w:r>
      <w:r w:rsidRPr="00E9716F">
        <w:t xml:space="preserve"> gegenüber den Bilanzkreisverantwortlichen bestätigt. Im Fall von nicht übereinsti</w:t>
      </w:r>
      <w:r w:rsidRPr="00E9716F">
        <w:t>m</w:t>
      </w:r>
      <w:r w:rsidRPr="00E9716F">
        <w:t>menden Nominierungen des aufnehmenden und des abgebenden Bilanzkreisveran</w:t>
      </w:r>
      <w:r w:rsidRPr="00E9716F">
        <w:t>t</w:t>
      </w:r>
      <w:r w:rsidRPr="00E9716F">
        <w:t>wortlichen wird jeweils der geringere der beiden nominierten Stundenwerte durch den M</w:t>
      </w:r>
      <w:r>
        <w:t>arktgebietsverantwortlichen</w:t>
      </w:r>
      <w:r w:rsidRPr="00E9716F">
        <w:t xml:space="preserve"> bestätigt (Matching). </w:t>
      </w:r>
      <w:r>
        <w:t>Sofern das jeweilige Paar der B</w:t>
      </w:r>
      <w:r>
        <w:t>i</w:t>
      </w:r>
      <w:r>
        <w:t>lanzkreisnummern bzw. Sub-Bilanzkontonummern beim Matching nicht übereinstimmt bzw. auf einer der beiden Seiten nicht bekannt ist, wird die Nominierung bzw. Renom</w:t>
      </w:r>
      <w:r>
        <w:t>i</w:t>
      </w:r>
      <w:r>
        <w:t xml:space="preserve">nierung für den Gastag auf Null gesetzt. </w:t>
      </w:r>
      <w:r w:rsidRPr="00E9716F">
        <w:rPr>
          <w:rFonts w:eastAsia="Arial"/>
        </w:rPr>
        <w:t xml:space="preserve">Nominierungen werden frühestens mit einer Frist von </w:t>
      </w:r>
      <w:r>
        <w:rPr>
          <w:rFonts w:eastAsia="Arial"/>
        </w:rPr>
        <w:t>30 vollen Minuten zur nächsten</w:t>
      </w:r>
      <w:r w:rsidRPr="00E9716F">
        <w:rPr>
          <w:rFonts w:eastAsia="Arial"/>
        </w:rPr>
        <w:t xml:space="preserve"> volle</w:t>
      </w:r>
      <w:r>
        <w:rPr>
          <w:rFonts w:eastAsia="Arial"/>
        </w:rPr>
        <w:t>n</w:t>
      </w:r>
      <w:r w:rsidRPr="00E9716F">
        <w:rPr>
          <w:rFonts w:eastAsia="Arial"/>
        </w:rPr>
        <w:t xml:space="preserve"> Stunde </w:t>
      </w:r>
      <w:r>
        <w:rPr>
          <w:rFonts w:eastAsia="Arial"/>
        </w:rPr>
        <w:t>nach</w:t>
      </w:r>
      <w:r w:rsidRPr="00E9716F">
        <w:rPr>
          <w:rFonts w:eastAsia="Arial"/>
        </w:rPr>
        <w:t xml:space="preserve"> Eingang der Nominierung wirksam</w:t>
      </w:r>
      <w:r w:rsidRPr="00117F0C">
        <w:rPr>
          <w:rFonts w:eastAsia="Arial"/>
        </w:rPr>
        <w:t>.</w:t>
      </w:r>
      <w:r>
        <w:rPr>
          <w:rFonts w:eastAsia="Arial"/>
        </w:rPr>
        <w:t xml:space="preserve"> </w:t>
      </w:r>
      <w:r w:rsidRPr="00117F0C">
        <w:rPr>
          <w:rFonts w:eastAsia="Arial"/>
          <w:iCs/>
        </w:rPr>
        <w:t>Stellt sich bei dem Matching heraus, dass die jeweiligen Nominierungen oder Renominierungen bzw. die Bilanzkreisnummern nicht miteinander übereinstimmen (</w:t>
      </w:r>
      <w:r>
        <w:rPr>
          <w:rFonts w:eastAsia="Arial"/>
          <w:iCs/>
        </w:rPr>
        <w:t>„Mismatch“), bemüht sich der Marktgebietsverantwortliche,</w:t>
      </w:r>
      <w:r w:rsidRPr="00117F0C">
        <w:rPr>
          <w:rFonts w:eastAsia="Arial"/>
          <w:iCs/>
        </w:rPr>
        <w:t xml:space="preserve"> de</w:t>
      </w:r>
      <w:r>
        <w:rPr>
          <w:rFonts w:eastAsia="Arial"/>
          <w:iCs/>
        </w:rPr>
        <w:t>n</w:t>
      </w:r>
      <w:r w:rsidRPr="00117F0C">
        <w:rPr>
          <w:rFonts w:eastAsia="Arial"/>
          <w:iCs/>
        </w:rPr>
        <w:t xml:space="preserve"> Bilanzkreisverantwor</w:t>
      </w:r>
      <w:r w:rsidRPr="00117F0C">
        <w:rPr>
          <w:rFonts w:eastAsia="Arial"/>
          <w:iCs/>
        </w:rPr>
        <w:t>t</w:t>
      </w:r>
      <w:r w:rsidRPr="00117F0C">
        <w:rPr>
          <w:rFonts w:eastAsia="Arial"/>
          <w:iCs/>
        </w:rPr>
        <w:t>lichen den Mismatch mit</w:t>
      </w:r>
      <w:r>
        <w:rPr>
          <w:rFonts w:eastAsia="Arial"/>
          <w:iCs/>
        </w:rPr>
        <w:t>zu</w:t>
      </w:r>
      <w:r w:rsidRPr="00117F0C">
        <w:rPr>
          <w:rFonts w:eastAsia="Arial"/>
          <w:iCs/>
        </w:rPr>
        <w:t>teilen</w:t>
      </w:r>
      <w:r>
        <w:rPr>
          <w:rFonts w:eastAsia="Arial"/>
          <w:iCs/>
        </w:rPr>
        <w:t>.</w:t>
      </w:r>
    </w:p>
    <w:p w:rsidR="00BE159F" w:rsidRDefault="00BE159F" w:rsidP="00BE159F">
      <w:pPr>
        <w:numPr>
          <w:ilvl w:val="0"/>
          <w:numId w:val="26"/>
        </w:numPr>
      </w:pPr>
      <w:r w:rsidRPr="00E9716F">
        <w:t>In Bezug auf den Wechsel von MEZ zu MESZ (gewöhnlich Ende März eines jeden K</w:t>
      </w:r>
      <w:r w:rsidRPr="00E9716F">
        <w:t>a</w:t>
      </w:r>
      <w:r w:rsidRPr="00E9716F">
        <w:t>lenderjahres) müssen vom Bilanzkreisverantwortlichen 23 aufeinander folgende Stu</w:t>
      </w:r>
      <w:r w:rsidRPr="00E9716F">
        <w:t>n</w:t>
      </w:r>
      <w:r w:rsidRPr="00E9716F">
        <w:t xml:space="preserve">denwerte </w:t>
      </w:r>
      <w:r>
        <w:t>oder wenn vom Marktgebietsverantwortlichen angeboten, eine durch 23 tei</w:t>
      </w:r>
      <w:r>
        <w:t>l</w:t>
      </w:r>
      <w:r>
        <w:t xml:space="preserve">bare Tagesmenge </w:t>
      </w:r>
      <w:r w:rsidRPr="00E9716F">
        <w:t>nominiert werden. In Bezug auf den Wechsel von MESZ und MEZ (gewöhnlich Ende Oktober eines jeden Kalenderjahres) müssen vom Bilanzkreisv</w:t>
      </w:r>
      <w:r w:rsidRPr="00E9716F">
        <w:t>e</w:t>
      </w:r>
      <w:r w:rsidRPr="00E9716F">
        <w:t xml:space="preserve">rantwortlichen 25 aufeinander folgende Stundenwerte </w:t>
      </w:r>
      <w:r>
        <w:t>oder wenn vom Marktgebietsv</w:t>
      </w:r>
      <w:r>
        <w:t>e</w:t>
      </w:r>
      <w:r>
        <w:t>rantwortlichen angeboten, eine durch 25 teilbare Tagesmenge</w:t>
      </w:r>
      <w:r w:rsidRPr="00E9716F">
        <w:t xml:space="preserve"> nominiert werden.</w:t>
      </w:r>
      <w:r>
        <w:t xml:space="preserve"> </w:t>
      </w:r>
    </w:p>
    <w:p w:rsidR="00BE159F" w:rsidRDefault="00BE159F" w:rsidP="00BE159F">
      <w:pPr>
        <w:numPr>
          <w:ilvl w:val="0"/>
          <w:numId w:val="26"/>
        </w:numPr>
      </w:pPr>
      <w:r>
        <w:t xml:space="preserve">Für Nominierungen und Renominierungen gelten die anwendbaren Regelungen der </w:t>
      </w:r>
      <w:r w:rsidRPr="00FA75F2">
        <w:t xml:space="preserve">Common Business Practice CBP  “Harmonisation of the Nomination and </w:t>
      </w:r>
      <w:r w:rsidRPr="005B621D">
        <w:t>Matching Pr</w:t>
      </w:r>
      <w:r w:rsidRPr="005B621D">
        <w:t>o</w:t>
      </w:r>
      <w:r w:rsidRPr="005B621D">
        <w:t>cess” in der jeweils gültigen Fassung; abzurufen auf der Internetseite des Marktgebiet</w:t>
      </w:r>
      <w:r w:rsidRPr="005B621D">
        <w:t>s</w:t>
      </w:r>
      <w:r w:rsidRPr="005B621D">
        <w:t>verantwortlichen.</w:t>
      </w:r>
    </w:p>
    <w:p w:rsidR="00BE159F" w:rsidRPr="002B4695" w:rsidRDefault="00BE159F" w:rsidP="00BE159F">
      <w:pPr>
        <w:numPr>
          <w:ilvl w:val="0"/>
          <w:numId w:val="26"/>
        </w:numPr>
        <w:autoSpaceDE w:val="0"/>
        <w:autoSpaceDN w:val="0"/>
        <w:rPr>
          <w:rFonts w:eastAsia="Arial"/>
        </w:rPr>
      </w:pPr>
      <w:r w:rsidRPr="00120FA8">
        <w:rPr>
          <w:rFonts w:eastAsia="Arial"/>
          <w:iCs/>
        </w:rPr>
        <w:t>D</w:t>
      </w:r>
      <w:r>
        <w:rPr>
          <w:rFonts w:eastAsia="Arial"/>
          <w:iCs/>
        </w:rPr>
        <w:t>as VHP-Dispatching des Marktgebietsverantwortlichen</w:t>
      </w:r>
      <w:r w:rsidRPr="00120FA8">
        <w:rPr>
          <w:rFonts w:eastAsia="Arial"/>
          <w:iCs/>
        </w:rPr>
        <w:t xml:space="preserve"> und der Bilanzkreisverantwor</w:t>
      </w:r>
      <w:r w:rsidRPr="00120FA8">
        <w:rPr>
          <w:rFonts w:eastAsia="Arial"/>
          <w:iCs/>
        </w:rPr>
        <w:t>t</w:t>
      </w:r>
      <w:r w:rsidRPr="00120FA8">
        <w:rPr>
          <w:rFonts w:eastAsia="Arial"/>
          <w:iCs/>
        </w:rPr>
        <w:t>liche müssen an jedem Gastag des Gaswirtschaftsjahres 24 Stunden über die zwischen ihnen vereinbarten Kommunikationssysteme erreichbar sein.</w:t>
      </w:r>
      <w:r w:rsidRPr="00056DBA">
        <w:t xml:space="preserve"> </w:t>
      </w:r>
      <w:r>
        <w:t>Der</w:t>
      </w:r>
      <w:r w:rsidRPr="00835B02">
        <w:t xml:space="preserve"> </w:t>
      </w:r>
      <w:r>
        <w:t>Marktgebietsveran</w:t>
      </w:r>
      <w:r>
        <w:t>t</w:t>
      </w:r>
      <w:r>
        <w:t xml:space="preserve">wortliche </w:t>
      </w:r>
      <w:r>
        <w:rPr>
          <w:rFonts w:eastAsia="Arial"/>
          <w:iCs/>
        </w:rPr>
        <w:t xml:space="preserve">kann zum Zwecke der Sicherstellung der technischen Kommunikation </w:t>
      </w:r>
      <w:r w:rsidRPr="00835B02">
        <w:t>einen</w:t>
      </w:r>
      <w:r>
        <w:t xml:space="preserve"> </w:t>
      </w:r>
      <w:r w:rsidRPr="00835B02">
        <w:t xml:space="preserve">Kommunikationstest zu jeder Zeit während der Vertragslaufzeit des jeweiligen </w:t>
      </w:r>
      <w:r>
        <w:t>Bilan</w:t>
      </w:r>
      <w:r>
        <w:t>z</w:t>
      </w:r>
      <w:r>
        <w:t>kreisvertrags durchführen.</w:t>
      </w:r>
      <w:r w:rsidRPr="00835B02">
        <w:t xml:space="preserve"> </w:t>
      </w:r>
    </w:p>
    <w:p w:rsidR="00BE159F" w:rsidRDefault="00BE159F" w:rsidP="00BE159F">
      <w:pPr>
        <w:pStyle w:val="berschrift1"/>
      </w:pPr>
      <w:bookmarkStart w:id="26" w:name="_Toc297207918"/>
      <w:bookmarkStart w:id="27" w:name="_Toc476824414"/>
      <w:r>
        <w:t>§ 11 Deklarationsmitteilung und Deklarationsclearing</w:t>
      </w:r>
      <w:bookmarkEnd w:id="26"/>
      <w:bookmarkEnd w:id="27"/>
    </w:p>
    <w:p w:rsidR="00BE159F" w:rsidRDefault="00BE159F" w:rsidP="00BE159F">
      <w:pPr>
        <w:numPr>
          <w:ilvl w:val="0"/>
          <w:numId w:val="52"/>
        </w:numPr>
      </w:pPr>
      <w:r>
        <w:t>Der Marktgebietsverantwortliche erstellt aus den monatlichen Deklarationslisten der Netzbetreiber für den Folgemonat eine Deklarationsmitteilung je Ausspeisenetzbetre</w:t>
      </w:r>
      <w:r>
        <w:t>i</w:t>
      </w:r>
      <w:r>
        <w:t>ber und je Bilanzkreis bzw. je Sub-Bilanzkonto. Er versendet diese einzeln bis zum 18. Werktag des Fristenmonats an den Bilanzkreisverantwortlichen. Diese Deklarat</w:t>
      </w:r>
      <w:r>
        <w:t>i</w:t>
      </w:r>
      <w:r>
        <w:t>onsmitteilung hat, mit Ausnahme der Möglichkeit der Durchführung eines Deklaration</w:t>
      </w:r>
      <w:r>
        <w:t>s</w:t>
      </w:r>
      <w:r>
        <w:t>datenclearings, für einen Zeitraum vom 1. Kalendertag, 06:00 Uhr, eines Monats bis zum 1. Kalendertag, 06:00 Uhr, des Folgemonats Gültigkeit.</w:t>
      </w:r>
    </w:p>
    <w:p w:rsidR="00BE159F" w:rsidRDefault="00BE159F" w:rsidP="00BE159F">
      <w:pPr>
        <w:numPr>
          <w:ilvl w:val="0"/>
          <w:numId w:val="52"/>
        </w:numPr>
      </w:pPr>
      <w:r>
        <w:t>In der Deklarationsmitteilung</w:t>
      </w:r>
      <w:r w:rsidRPr="0020041C">
        <w:t xml:space="preserve"> werden alle im deklarierten Zeitraum aktiven</w:t>
      </w:r>
      <w:r>
        <w:t>, deklarat</w:t>
      </w:r>
      <w:r>
        <w:t>i</w:t>
      </w:r>
      <w:r>
        <w:t>onspflichtigen</w:t>
      </w:r>
      <w:r w:rsidRPr="0020041C">
        <w:t xml:space="preserve"> Zeitreihentypen </w:t>
      </w:r>
      <w:r w:rsidRPr="00D60909">
        <w:t>SLPana, SLPsyn, RLMo</w:t>
      </w:r>
      <w:r>
        <w:t>T</w:t>
      </w:r>
      <w:r w:rsidRPr="00D60909">
        <w:t>, RLMmT</w:t>
      </w:r>
      <w:r w:rsidRPr="0020041C">
        <w:t xml:space="preserve"> je Bilanzkreis/Sub-Bilanzkonto aufgeführt.</w:t>
      </w:r>
    </w:p>
    <w:p w:rsidR="00BE159F" w:rsidRDefault="00BE159F" w:rsidP="00BE159F">
      <w:pPr>
        <w:numPr>
          <w:ilvl w:val="0"/>
          <w:numId w:val="52"/>
        </w:numPr>
      </w:pPr>
      <w:r>
        <w:t>Die untermonatliche Erstellung und der Versand einer Deklarationsliste bzw. -mitteilung ist aus folgenden Gründen notwendig:</w:t>
      </w:r>
    </w:p>
    <w:p w:rsidR="00BE159F" w:rsidRDefault="00BE159F" w:rsidP="00BE159F">
      <w:pPr>
        <w:numPr>
          <w:ilvl w:val="0"/>
          <w:numId w:val="53"/>
        </w:numPr>
      </w:pPr>
      <w:r>
        <w:t>Bei Ausspeisepunkten mit registrierender Leistungsmessung („RLM-Ausspeisepunkte“) ist gemäß GeLi Gas ein Lieferende bzw. Lieferbeginn jederzeit möglich;</w:t>
      </w:r>
    </w:p>
    <w:p w:rsidR="00BE159F" w:rsidRDefault="00BE159F" w:rsidP="00BE159F">
      <w:pPr>
        <w:numPr>
          <w:ilvl w:val="0"/>
          <w:numId w:val="53"/>
        </w:numPr>
      </w:pPr>
      <w:r>
        <w:t>Deklarationsclearing.</w:t>
      </w:r>
    </w:p>
    <w:p w:rsidR="00BE159F" w:rsidRDefault="00BE159F" w:rsidP="00BE159F">
      <w:pPr>
        <w:pStyle w:val="GL2OhneZiffer"/>
      </w:pPr>
      <w:r>
        <w:t>In beiden Fällen ist durch den Netzbetreiber unverzüglich die Deklaration anzupassen. Der Netzbetreiber versendet nur die geänderten Deklarationen der geänderten Bilan</w:t>
      </w:r>
      <w:r>
        <w:t>z</w:t>
      </w:r>
      <w:r>
        <w:t>kreise/Sub-Bilanzkonten an den Marktgebietsverantwortlichen.</w:t>
      </w:r>
    </w:p>
    <w:p w:rsidR="00BE159F" w:rsidRPr="002E4D2A" w:rsidRDefault="00BE159F" w:rsidP="00BE159F">
      <w:pPr>
        <w:pStyle w:val="GL2OhneZiffer"/>
      </w:pPr>
      <w:r>
        <w:t xml:space="preserve">Der Marktgebietsverantwortliche erstellt aus den untermonatlichen </w:t>
      </w:r>
      <w:r w:rsidRPr="002E4D2A">
        <w:t>Deklarationslisten der Netzbetreiber eine Deklarationsmitteilung je Ausspeisenetzbetreiber und je Bilan</w:t>
      </w:r>
      <w:r w:rsidRPr="002E4D2A">
        <w:t>z</w:t>
      </w:r>
      <w:r w:rsidRPr="002E4D2A">
        <w:t>kreis bzw. je Sub-Bilanzkonto und leitet die Deklarationsmitteilung unmittelbar am Tag D-</w:t>
      </w:r>
      <w:r>
        <w:t>2</w:t>
      </w:r>
      <w:r w:rsidRPr="002E4D2A">
        <w:t xml:space="preserve"> bis 23:00 Uhr </w:t>
      </w:r>
      <w:r w:rsidR="006823DE">
        <w:t xml:space="preserve">für SLP-Ausspeisepunkte </w:t>
      </w:r>
      <w:r w:rsidRPr="002E4D2A">
        <w:t>bzw. am Tag D-</w:t>
      </w:r>
      <w:r>
        <w:t>1</w:t>
      </w:r>
      <w:r w:rsidRPr="002E4D2A">
        <w:t xml:space="preserve"> bis 23:00 Uhr </w:t>
      </w:r>
      <w:r w:rsidR="006823DE">
        <w:t xml:space="preserve">für RLM-Ausspeisepunkte </w:t>
      </w:r>
      <w:r w:rsidRPr="002E4D2A">
        <w:t>an den Bilanzkreisverantwortlichen weiter.</w:t>
      </w:r>
    </w:p>
    <w:p w:rsidR="00BE159F" w:rsidRDefault="00BE159F" w:rsidP="00BE159F">
      <w:pPr>
        <w:numPr>
          <w:ilvl w:val="0"/>
          <w:numId w:val="52"/>
        </w:numPr>
      </w:pPr>
      <w:r w:rsidRPr="002E4D2A">
        <w:t>Der Marktgebietsverantwortliche führt auf einem dem Bilanzkreisverantwortlichen z</w:t>
      </w:r>
      <w:r w:rsidRPr="002E4D2A">
        <w:t>u</w:t>
      </w:r>
      <w:r w:rsidRPr="002E4D2A">
        <w:t>gänglichen Portal eine aktuelle Gesamtübersicht aller Deklarationsmitteilungen je B</w:t>
      </w:r>
      <w:r w:rsidRPr="002E4D2A">
        <w:t>i</w:t>
      </w:r>
      <w:r w:rsidRPr="002E4D2A">
        <w:t>lanzkreis mit allen zugehörigen Sub-Bilanzkonten und Zeitreihentypen.</w:t>
      </w:r>
    </w:p>
    <w:p w:rsidR="00BE159F" w:rsidRDefault="00BE159F" w:rsidP="00BE159F">
      <w:pPr>
        <w:numPr>
          <w:ilvl w:val="0"/>
          <w:numId w:val="52"/>
        </w:numPr>
      </w:pPr>
      <w:r w:rsidRPr="002E4D2A">
        <w:t>Der Marktgebietsverantwortliche prüft die monatlichen und untermonatlichen Deklarat</w:t>
      </w:r>
      <w:r w:rsidRPr="002E4D2A">
        <w:t>i</w:t>
      </w:r>
      <w:r w:rsidRPr="002E4D2A">
        <w:t>onslisten der Netzbetreiber auf Zulässigkeit der Bilanzkreis</w:t>
      </w:r>
      <w:r w:rsidRPr="002E4D2A" w:rsidDel="006C2ADA">
        <w:t>e</w:t>
      </w:r>
      <w:r w:rsidRPr="002E4D2A">
        <w:t xml:space="preserve"> bzw. Sub-Bilanzkonten. Eine Kontrolle der zugeordneten Zeitreihentypen wird durch den Marktgebietsveran</w:t>
      </w:r>
      <w:r w:rsidRPr="002E4D2A">
        <w:t>t</w:t>
      </w:r>
      <w:r w:rsidRPr="002E4D2A">
        <w:t xml:space="preserve">wortlichen nicht vorgenommen. </w:t>
      </w:r>
      <w:r w:rsidRPr="00354AD5">
        <w:t>Sofern der Netzbetreiber</w:t>
      </w:r>
      <w:r w:rsidRPr="002E4D2A">
        <w:t xml:space="preserve"> eine geänderte Deklarationsl</w:t>
      </w:r>
      <w:r w:rsidRPr="002E4D2A">
        <w:t>i</w:t>
      </w:r>
      <w:r w:rsidRPr="002E4D2A">
        <w:t>ste versendet, prüft der Marktgebietsverantwortliche dann die geänderte Deklarationsl</w:t>
      </w:r>
      <w:r w:rsidRPr="002E4D2A">
        <w:t>i</w:t>
      </w:r>
      <w:r w:rsidRPr="002E4D2A">
        <w:t xml:space="preserve">ste des Netzbetreibers erneut und sendet dem Bilanzkreisverantwortlichen </w:t>
      </w:r>
    </w:p>
    <w:p w:rsidR="00BE159F" w:rsidRPr="002E4D2A" w:rsidRDefault="00BE159F" w:rsidP="00BE159F">
      <w:pPr>
        <w:ind w:left="567"/>
      </w:pPr>
      <w:r w:rsidRPr="002E4D2A">
        <w:t>a)</w:t>
      </w:r>
      <w:r w:rsidRPr="002E4D2A">
        <w:tab/>
        <w:t xml:space="preserve">im Falle einer monatlichen Deklaration spätestens 1 Werktag </w:t>
      </w:r>
    </w:p>
    <w:p w:rsidR="00BE159F" w:rsidRPr="002E4D2A" w:rsidRDefault="00BE159F" w:rsidP="00BE159F">
      <w:pPr>
        <w:ind w:left="567"/>
      </w:pPr>
      <w:r w:rsidRPr="002E4D2A">
        <w:t>b)</w:t>
      </w:r>
      <w:r w:rsidRPr="002E4D2A">
        <w:tab/>
        <w:t xml:space="preserve">bzw. für die untermonatliche Deklaration am selben Tag bis 23:00 Uhr </w:t>
      </w:r>
    </w:p>
    <w:p w:rsidR="00BE159F" w:rsidRPr="002E4D2A" w:rsidRDefault="00BE159F" w:rsidP="00BE159F">
      <w:pPr>
        <w:ind w:left="567"/>
      </w:pPr>
      <w:r w:rsidRPr="002E4D2A">
        <w:t xml:space="preserve">nach Eingang der korrigierten Deklarationsliste die korrigierte Deklarationsmitteilung nur mit den geänderten Bilanzkreisen bzw. Sub-Bilanzkonten zur Prüfung zu. </w:t>
      </w:r>
    </w:p>
    <w:p w:rsidR="00BE159F" w:rsidRDefault="00BE159F" w:rsidP="00BE159F">
      <w:pPr>
        <w:numPr>
          <w:ilvl w:val="0"/>
          <w:numId w:val="52"/>
        </w:numPr>
      </w:pPr>
      <w:r w:rsidRPr="002E4D2A">
        <w:t>Der Bilanzkreisverantwortliche ist verpflichtet, die Deklarationsmitteilung des Marktg</w:t>
      </w:r>
      <w:r w:rsidRPr="002E4D2A">
        <w:t>e</w:t>
      </w:r>
      <w:r w:rsidRPr="002E4D2A">
        <w:t>bietsverantwortlichen zu prüfen und dem Netzbetreiber unverzüglich alle Fehler mitz</w:t>
      </w:r>
      <w:r w:rsidRPr="002E4D2A">
        <w:t>u</w:t>
      </w:r>
      <w:r w:rsidRPr="002E4D2A">
        <w:t>teilen. Fehler können insbesondere sein:</w:t>
      </w:r>
    </w:p>
    <w:p w:rsidR="00BE159F" w:rsidRDefault="00BE159F" w:rsidP="00BE159F">
      <w:pPr>
        <w:pStyle w:val="BulletPGL2"/>
        <w:numPr>
          <w:ilvl w:val="0"/>
          <w:numId w:val="66"/>
        </w:numPr>
        <w:tabs>
          <w:tab w:val="left" w:pos="993"/>
        </w:tabs>
        <w:ind w:left="993" w:hanging="426"/>
      </w:pPr>
      <w:r w:rsidRPr="002E4D2A">
        <w:t>Fehlende Bilanzkreise/Sub-Bilanzkonten,</w:t>
      </w:r>
    </w:p>
    <w:p w:rsidR="00BE159F" w:rsidRDefault="00BE159F" w:rsidP="00BE159F">
      <w:pPr>
        <w:pStyle w:val="BulletPGL2"/>
        <w:numPr>
          <w:ilvl w:val="0"/>
          <w:numId w:val="66"/>
        </w:numPr>
        <w:tabs>
          <w:tab w:val="left" w:pos="993"/>
        </w:tabs>
        <w:ind w:left="993" w:hanging="426"/>
      </w:pPr>
      <w:r w:rsidRPr="002E4D2A">
        <w:t>Bilanzkreise/Sub-Bilanzkonten, die der Bilanzkreisverantwortliche nicht besitzt,</w:t>
      </w:r>
    </w:p>
    <w:p w:rsidR="00BE159F" w:rsidRDefault="00BE159F" w:rsidP="00BE159F">
      <w:pPr>
        <w:pStyle w:val="BulletPGL2"/>
        <w:numPr>
          <w:ilvl w:val="0"/>
          <w:numId w:val="66"/>
        </w:numPr>
        <w:tabs>
          <w:tab w:val="left" w:pos="993"/>
        </w:tabs>
        <w:ind w:left="993" w:hanging="426"/>
      </w:pPr>
      <w:r w:rsidRPr="002E4D2A">
        <w:t>Fehlende oder falsche Zeitreihentypen je Bilanzkreis/Sub-Bilanzkonto,</w:t>
      </w:r>
    </w:p>
    <w:p w:rsidR="00BE159F" w:rsidRDefault="00BE159F" w:rsidP="00BE159F">
      <w:pPr>
        <w:pStyle w:val="BulletPGL2"/>
        <w:numPr>
          <w:ilvl w:val="0"/>
          <w:numId w:val="66"/>
        </w:numPr>
        <w:tabs>
          <w:tab w:val="left" w:pos="993"/>
        </w:tabs>
        <w:ind w:left="993" w:hanging="426"/>
      </w:pPr>
      <w:r w:rsidRPr="002E4D2A">
        <w:t>Fehlende Deklarationen eines Netzbetreibers,</w:t>
      </w:r>
    </w:p>
    <w:p w:rsidR="00BE159F" w:rsidRDefault="00BE159F" w:rsidP="00BE159F">
      <w:pPr>
        <w:pStyle w:val="BulletPGL2"/>
        <w:numPr>
          <w:ilvl w:val="0"/>
          <w:numId w:val="66"/>
        </w:numPr>
        <w:tabs>
          <w:tab w:val="left" w:pos="993"/>
        </w:tabs>
        <w:ind w:left="993" w:hanging="426"/>
      </w:pPr>
      <w:r w:rsidRPr="002E4D2A">
        <w:t>Unzutreffendes Beginn- oder Enddatum.</w:t>
      </w:r>
    </w:p>
    <w:p w:rsidR="00BE159F" w:rsidRDefault="00BE159F" w:rsidP="00BE159F">
      <w:pPr>
        <w:numPr>
          <w:ilvl w:val="0"/>
          <w:numId w:val="52"/>
        </w:numPr>
      </w:pPr>
      <w:r w:rsidRPr="002E4D2A">
        <w:t>Die Mitteilung an den Netzbetreiber über die fehlerhafte Deklaration erfolgt durch den Bilanzkreisverantwortlichen per E-Mail unter detaillierter Angabe der betroffenen B</w:t>
      </w:r>
      <w:r w:rsidRPr="002E4D2A">
        <w:t>i</w:t>
      </w:r>
      <w:r w:rsidRPr="002E4D2A">
        <w:t>lanzkreise/Sub-Bilanzkonten und einer Begründung.</w:t>
      </w:r>
    </w:p>
    <w:p w:rsidR="00BE159F" w:rsidRDefault="006823DE" w:rsidP="00BE159F">
      <w:pPr>
        <w:numPr>
          <w:ilvl w:val="0"/>
          <w:numId w:val="52"/>
        </w:numPr>
      </w:pPr>
      <w:r>
        <w:t>Der Marktgebietsverantwortliche erstellt auf Basis der erneut erhaltenen, korrigierten Deklarationsliste des Netzbetreibers für den Folge- bzw. laufenden Monat eine Deklar</w:t>
      </w:r>
      <w:r>
        <w:t>a</w:t>
      </w:r>
      <w:r>
        <w:t xml:space="preserve">tionsmitteilung, in der jeweils Ausspeisenetzbetreiber und Bilanzkreis bzw. Sub-Bilanzkonto aufgeführt sind. </w:t>
      </w:r>
      <w:r w:rsidR="00BE159F">
        <w:t>Eine Änderung für SLP-Zeitreihen ist nur für künftige Zei</w:t>
      </w:r>
      <w:r w:rsidR="00BE159F">
        <w:t>t</w:t>
      </w:r>
      <w:r w:rsidR="00BE159F">
        <w:t xml:space="preserve">räume möglich. Für RLM-Zeitreihen kann die Deklaration auch für zurückliegende Tage </w:t>
      </w:r>
      <w:r w:rsidR="00BE159F" w:rsidRPr="00D6170D">
        <w:t xml:space="preserve">des betroffenen Liefermonats innerhalb der Fristen </w:t>
      </w:r>
      <w:r w:rsidR="00BE159F" w:rsidRPr="00F00CEC">
        <w:t xml:space="preserve">des Versandes von korrigierten Allokationsdaten bis M+12 Werktage sowie innerhalb der Fristen </w:t>
      </w:r>
      <w:r w:rsidR="00BE159F" w:rsidRPr="00D6170D">
        <w:t>des Allokationscle</w:t>
      </w:r>
      <w:r w:rsidR="00BE159F" w:rsidRPr="00D6170D">
        <w:t>a</w:t>
      </w:r>
      <w:r w:rsidR="00BE159F" w:rsidRPr="00D6170D">
        <w:t>rings der entsprechenden Zeitreihen</w:t>
      </w:r>
      <w:r w:rsidR="00BE159F">
        <w:t xml:space="preserve"> geändert werden. In den Fällen der Deklaration</w:t>
      </w:r>
      <w:r w:rsidR="00BE159F">
        <w:t>s</w:t>
      </w:r>
      <w:r w:rsidR="00BE159F">
        <w:t>korrektur müssen der betroffene Bilanzkreisverantwortliche bzw. die betroffenen Bilan</w:t>
      </w:r>
      <w:r w:rsidR="00BE159F">
        <w:t>z</w:t>
      </w:r>
      <w:r w:rsidR="00BE159F">
        <w:t>kreisverantwortlichen zustimmen.</w:t>
      </w:r>
    </w:p>
    <w:p w:rsidR="00BE159F" w:rsidRPr="008455D0" w:rsidRDefault="00BE159F" w:rsidP="00BE159F">
      <w:pPr>
        <w:pStyle w:val="berschrift1"/>
      </w:pPr>
      <w:bookmarkStart w:id="28" w:name="_Toc297207919"/>
      <w:bookmarkStart w:id="29" w:name="_Toc476824415"/>
      <w:r>
        <w:t>§ 1</w:t>
      </w:r>
      <w:r w:rsidR="006C687F">
        <w:t>2</w:t>
      </w:r>
      <w:r>
        <w:t xml:space="preserve"> </w:t>
      </w:r>
      <w:r w:rsidRPr="008455D0">
        <w:t>Mengenzuordnung (Allokation)</w:t>
      </w:r>
      <w:bookmarkEnd w:id="28"/>
      <w:bookmarkEnd w:id="29"/>
    </w:p>
    <w:p w:rsidR="00BE159F" w:rsidRDefault="00BE159F" w:rsidP="00BE159F">
      <w:pPr>
        <w:numPr>
          <w:ilvl w:val="0"/>
          <w:numId w:val="54"/>
        </w:numPr>
      </w:pPr>
      <w:r w:rsidRPr="008455D0">
        <w:t>Der Marktgebietsverantwortliche empfängt bilanzkreisrelevante richtungsscharfe Ein- und Ausspeisenominierungen für den VHP. Für diese Nominierungen gilt allokiert wie nominiert. Eine</w:t>
      </w:r>
      <w:r w:rsidRPr="0060672A">
        <w:t xml:space="preserve"> Ersatzwert- oder Brennwertkorrektur findet nicht statt. Es werden nur bestätigte Nominierungen oder Renominierungen allokiert.</w:t>
      </w:r>
    </w:p>
    <w:p w:rsidR="00BE159F" w:rsidRDefault="00BE159F" w:rsidP="00BE159F">
      <w:pPr>
        <w:numPr>
          <w:ilvl w:val="0"/>
          <w:numId w:val="54"/>
        </w:numPr>
      </w:pPr>
      <w:r>
        <w:t xml:space="preserve">Der Marktgebietsverantwortliche sendet die stündlichen Allokationen </w:t>
      </w:r>
      <w:r w:rsidRPr="00B978B9">
        <w:t>der Zeitreihent</w:t>
      </w:r>
      <w:r w:rsidRPr="00B978B9">
        <w:t>y</w:t>
      </w:r>
      <w:r w:rsidRPr="00B978B9">
        <w:t>pen ENTRY VHP und EXIT VHP je Bilanzkreis</w:t>
      </w:r>
      <w:r>
        <w:t xml:space="preserve"> </w:t>
      </w:r>
      <w:r w:rsidRPr="00B978B9">
        <w:t xml:space="preserve">und Bilanzkreispaar </w:t>
      </w:r>
      <w:r>
        <w:t>als Geschäftsnac</w:t>
      </w:r>
      <w:r>
        <w:t>h</w:t>
      </w:r>
      <w:r>
        <w:t xml:space="preserve">richt </w:t>
      </w:r>
      <w:r w:rsidRPr="00B978B9">
        <w:t xml:space="preserve">im </w:t>
      </w:r>
      <w:r>
        <w:t xml:space="preserve">jeweils geltenden </w:t>
      </w:r>
      <w:r w:rsidRPr="00B978B9">
        <w:t>ALOCAT-Format am Tag D+1 bis 13:00 Uhr an den Bilan</w:t>
      </w:r>
      <w:r w:rsidRPr="00B978B9">
        <w:t>z</w:t>
      </w:r>
      <w:r w:rsidRPr="00B978B9">
        <w:t>kreisverantwortlichen.</w:t>
      </w:r>
    </w:p>
    <w:p w:rsidR="00BE159F" w:rsidRDefault="00BE159F" w:rsidP="00BE159F">
      <w:pPr>
        <w:numPr>
          <w:ilvl w:val="0"/>
          <w:numId w:val="54"/>
        </w:numPr>
      </w:pPr>
      <w:r>
        <w:t>Der Marktgebietsverantwortliche übersendet die aggregierten und gemessenen Las</w:t>
      </w:r>
      <w:r>
        <w:t>t</w:t>
      </w:r>
      <w:r>
        <w:t xml:space="preserve">gänge des Liefertages D der Zeitreihentypen </w:t>
      </w:r>
      <w:r w:rsidRPr="00B5326A">
        <w:t>ENTRYSO, EXITSO, ENTRY B</w:t>
      </w:r>
      <w:r>
        <w:t>iogas</w:t>
      </w:r>
      <w:r w:rsidRPr="00B5326A">
        <w:t xml:space="preserve">, </w:t>
      </w:r>
      <w:r>
        <w:t>ENTRY Wasserstoff, RLMoT</w:t>
      </w:r>
      <w:r w:rsidR="00F40581">
        <w:t xml:space="preserve"> und</w:t>
      </w:r>
      <w:r>
        <w:t xml:space="preserve"> RLMmT getrennt je Zeitreihentyp, je Bilanzkreis/Sub-Bilanzkonto, je Netzbetreiber am Tag D+1 bis spätestens 13:00 Uhr an den Bilanzkrei</w:t>
      </w:r>
      <w:r>
        <w:t>s</w:t>
      </w:r>
      <w:r>
        <w:t xml:space="preserve">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w:t>
      </w:r>
      <w:r w:rsidRPr="008455D0">
        <w:t>Stunden des G</w:t>
      </w:r>
      <w:r w:rsidRPr="008455D0">
        <w:t>a</w:t>
      </w:r>
      <w:r w:rsidRPr="008455D0">
        <w:t>stages als Tagesband. Diese Daten werden im ALOCAT-Format bis spätestens 1</w:t>
      </w:r>
      <w:r>
        <w:t>9:00</w:t>
      </w:r>
      <w:r w:rsidRPr="008455D0">
        <w:t xml:space="preserve"> Uhr an</w:t>
      </w:r>
      <w:r>
        <w:t xml:space="preserve"> den Bilanzkreisverantwortlichen versendet.</w:t>
      </w:r>
    </w:p>
    <w:p w:rsidR="00BE159F" w:rsidRDefault="00BE159F" w:rsidP="00BE159F">
      <w:pPr>
        <w:numPr>
          <w:ilvl w:val="0"/>
          <w:numId w:val="54"/>
        </w:numPr>
      </w:pPr>
      <w:r>
        <w:t>Der Bilanzkreisverantwortliche erhält vom Marktgebietsverantwortlichen bis spätestens M+14 Werktage die nach Abschluss der Ersatzwertkorrektur korrigierten Bilanzkre</w:t>
      </w:r>
      <w:r>
        <w:t>i</w:t>
      </w:r>
      <w:r>
        <w:t>se/Sub-Bilanzkonten der auf Basis von Messwerten allokierten Zeitreihentypen i.S.d. Arbeitsblattes G 685 der Deutschen Vereinigung des Gas- und Wasserfachs e.V. (DVGW Arbeitsblatt</w:t>
      </w:r>
      <w:r w:rsidRPr="00726E1D">
        <w:t xml:space="preserve">). </w:t>
      </w:r>
    </w:p>
    <w:p w:rsidR="00BE159F" w:rsidRDefault="00BE159F" w:rsidP="00BE159F">
      <w:pPr>
        <w:ind w:left="567"/>
      </w:pPr>
      <w:r>
        <w:t>Für den Zeitreihentyp RLMmT werden vom Marktgebietsverantwortlichen sowohl der strukturierte Lastgang als auch das errechnete Tagesband an den Bilanzkreisveran</w:t>
      </w:r>
      <w:r>
        <w:t>t</w:t>
      </w:r>
      <w:r>
        <w:t>wortlichen übermittelt. Die Korrektur ist entsprechend in den Datenmeldungen geken</w:t>
      </w:r>
      <w:r>
        <w:t>n</w:t>
      </w:r>
      <w:r>
        <w:t xml:space="preserve">zeichnet. </w:t>
      </w:r>
    </w:p>
    <w:p w:rsidR="00BE159F" w:rsidRDefault="00F40581" w:rsidP="00BE159F">
      <w:pPr>
        <w:numPr>
          <w:ilvl w:val="0"/>
          <w:numId w:val="54"/>
        </w:numPr>
      </w:pPr>
      <w:r>
        <w:t xml:space="preserve">Die für SLP-Ausspeisepunkte für den Tag D allokierten Mengen </w:t>
      </w:r>
      <w:r w:rsidR="00BE159F" w:rsidRPr="008455D0">
        <w:t xml:space="preserve">werden durch den Marktgebietsverantwortlichen </w:t>
      </w:r>
      <w:r>
        <w:t xml:space="preserve">dem </w:t>
      </w:r>
      <w:r w:rsidR="00BE159F" w:rsidRPr="008455D0">
        <w:t xml:space="preserve">Bilanzkreisverantwortlichen je Bilanzkreis/Sub-Bilanzkonto ausspeisenetzscharf </w:t>
      </w:r>
      <w:r>
        <w:t xml:space="preserve">am Tag D-1 </w:t>
      </w:r>
      <w:r w:rsidR="00BE159F" w:rsidRPr="008455D0">
        <w:t>bis spätestens 13:00 Uhr zur Verfügung gestellt, sodass der</w:t>
      </w:r>
      <w:r w:rsidR="00BE159F">
        <w:t xml:space="preserve"> Bilanzkreisverantwortliche diese Mengen als Einspeisung </w:t>
      </w:r>
      <w:r>
        <w:t xml:space="preserve">für den Tag D </w:t>
      </w:r>
      <w:r w:rsidR="00BE159F">
        <w:t xml:space="preserve">nominieren kann. </w:t>
      </w:r>
      <w:r w:rsidR="00BE159F" w:rsidRPr="00EE501E">
        <w:rPr>
          <w:color w:val="000000"/>
        </w:rPr>
        <w:t>Wenn um 12:00 Uhr keine oder unvollständige SLP-Allokationsdaten des Ausspeisenetzbetreibers vorliegen, bildet der Marktgebietsv</w:t>
      </w:r>
      <w:r w:rsidR="00BE159F" w:rsidRPr="00EE501E">
        <w:rPr>
          <w:color w:val="000000"/>
        </w:rPr>
        <w:t>e</w:t>
      </w:r>
      <w:r w:rsidR="00BE159F" w:rsidRPr="00EE501E">
        <w:rPr>
          <w:color w:val="000000"/>
        </w:rPr>
        <w:t>rantwortliche in beiden Fällen für alle Stunden des Tages D+1 Ersatzwerte. Als Ersat</w:t>
      </w:r>
      <w:r w:rsidR="00BE159F" w:rsidRPr="00EE501E">
        <w:rPr>
          <w:color w:val="000000"/>
        </w:rPr>
        <w:t>z</w:t>
      </w:r>
      <w:r w:rsidR="00BE159F" w:rsidRPr="00EE501E">
        <w:rPr>
          <w:color w:val="000000"/>
        </w:rPr>
        <w:t>wert wird der Vortageswert angenommen, sofern nicht bereits mehrtägige Allokation</w:t>
      </w:r>
      <w:r w:rsidR="00BE159F" w:rsidRPr="00EE501E">
        <w:rPr>
          <w:color w:val="000000"/>
        </w:rPr>
        <w:t>s</w:t>
      </w:r>
      <w:r w:rsidR="00BE159F" w:rsidRPr="00EE501E">
        <w:rPr>
          <w:color w:val="000000"/>
        </w:rPr>
        <w:t>werte auf Basis einer mehrtägigen Temperaturprognose vom Ausspeisenetzbetreiber an den Marktgebietsverantwortlichen gesendet wurden. Liegt kein Vortageswert vor, wird der stündliche Ersatzwert 0 kWh gebildet. Ersatzwerte, die ggf. gebildet werden, werden bis 13:00 Uhr dem Bilanzkreisverantwortlichen zur Verfügung gestellt.</w:t>
      </w:r>
    </w:p>
    <w:p w:rsidR="00BE159F" w:rsidRPr="00845103" w:rsidRDefault="00BE159F" w:rsidP="00BE159F">
      <w:pPr>
        <w:numPr>
          <w:ilvl w:val="0"/>
          <w:numId w:val="54"/>
        </w:numPr>
      </w:pPr>
      <w:r w:rsidRPr="00E125B3">
        <w:rPr>
          <w:color w:val="000000"/>
        </w:rPr>
        <w:t xml:space="preserve">Der Marktgebietsverantwortliche ermittelt den Bilanzkreisstatus (inkl. Zeitreihen) für jeden Bilanzkreis auf Basis der nach </w:t>
      </w:r>
      <w:r w:rsidRPr="00CD68E9">
        <w:rPr>
          <w:color w:val="000000"/>
        </w:rPr>
        <w:t xml:space="preserve">diesem § </w:t>
      </w:r>
      <w:r w:rsidR="00F40581">
        <w:rPr>
          <w:color w:val="000000"/>
        </w:rPr>
        <w:t>12</w:t>
      </w:r>
      <w:r w:rsidRPr="00CD68E9">
        <w:rPr>
          <w:color w:val="000000"/>
        </w:rPr>
        <w:t xml:space="preserve"> zur</w:t>
      </w:r>
      <w:r w:rsidRPr="00E125B3">
        <w:rPr>
          <w:color w:val="000000"/>
        </w:rPr>
        <w:t xml:space="preserve"> Verfügung gestellten Daten und teilt diesen D+1 dem Bilanzkreisverantwortlichen bis spätestens 16:30 Uhr sowie -</w:t>
      </w:r>
      <w:r>
        <w:rPr>
          <w:color w:val="000000"/>
        </w:rPr>
        <w:t xml:space="preserve"> s</w:t>
      </w:r>
      <w:r>
        <w:rPr>
          <w:color w:val="000000"/>
        </w:rPr>
        <w:t>o</w:t>
      </w:r>
      <w:r>
        <w:rPr>
          <w:color w:val="000000"/>
        </w:rPr>
        <w:t>weit sich Änderungen ergeben haben - M+15 Werktage sowie zur Rechnungslegung, wenn sich nach M+15 Werktage weitere Änderungen ergeben haben,</w:t>
      </w:r>
      <w:r w:rsidRPr="008455D0">
        <w:rPr>
          <w:color w:val="000000"/>
        </w:rPr>
        <w:t xml:space="preserve"> mit. Der Bilan</w:t>
      </w:r>
      <w:r w:rsidRPr="008455D0">
        <w:rPr>
          <w:color w:val="000000"/>
        </w:rPr>
        <w:t>z</w:t>
      </w:r>
      <w:r w:rsidRPr="008455D0">
        <w:rPr>
          <w:color w:val="000000"/>
        </w:rPr>
        <w:t>kreisverantwortliche ist verpflichtet, den vom Marktgebietsverantwortlichen M+15 Wer</w:t>
      </w:r>
      <w:r w:rsidRPr="008455D0">
        <w:rPr>
          <w:color w:val="000000"/>
        </w:rPr>
        <w:t>k</w:t>
      </w:r>
      <w:r w:rsidRPr="008455D0">
        <w:rPr>
          <w:color w:val="000000"/>
        </w:rPr>
        <w:t>tage</w:t>
      </w:r>
      <w:r>
        <w:rPr>
          <w:color w:val="000000"/>
        </w:rPr>
        <w:t xml:space="preserve"> versendeten Bilanzkreissaldo zu prüfen. </w:t>
      </w:r>
      <w:r w:rsidRPr="00DC3191">
        <w:rPr>
          <w:color w:val="000000"/>
        </w:rPr>
        <w:t>Bei SLP-</w:t>
      </w:r>
      <w:r>
        <w:rPr>
          <w:color w:val="000000"/>
        </w:rPr>
        <w:t>Ausspeisepunkten</w:t>
      </w:r>
      <w:r w:rsidRPr="00DC3191">
        <w:rPr>
          <w:color w:val="000000"/>
        </w:rPr>
        <w:t xml:space="preserve"> entsprechen die jeweils D-1 mitgeteilten Allokationen den endgültigen Allokationen, eine Brennwer</w:t>
      </w:r>
      <w:r w:rsidRPr="00DC3191">
        <w:rPr>
          <w:color w:val="000000"/>
        </w:rPr>
        <w:t>t</w:t>
      </w:r>
      <w:r w:rsidRPr="00DC3191">
        <w:rPr>
          <w:color w:val="000000"/>
        </w:rPr>
        <w:t>korrektur oder Korrektur von Ersatzwerten findet nicht statt.</w:t>
      </w:r>
    </w:p>
    <w:p w:rsidR="00845103" w:rsidRDefault="00845103" w:rsidP="00BE159F">
      <w:pPr>
        <w:numPr>
          <w:ilvl w:val="0"/>
          <w:numId w:val="54"/>
        </w:numPr>
      </w:pPr>
      <w:r>
        <w:t>Der Marktgebietsverantwortliche leitet die durch den Ausspeisenetzbetreiber ermittelten und zugeordneten Mengenwerte aggregiert für Ausspeisepunkte mit registrierender Leistungsmessung („RLM“) zwei Mal untertägig an den Bilanzkreisverantwortlichen we</w:t>
      </w:r>
      <w:r>
        <w:t>i</w:t>
      </w:r>
      <w:r>
        <w:t xml:space="preserve">ter, damit dieser Ungleichgewichte in seinem Bilanzkreis durch geeignete Maßnahmen vermeiden oder ausgleichen kann. Die erste Weiterleitung vom </w:t>
      </w:r>
      <w:r w:rsidR="00585701">
        <w:t>Marktgebietsverantwor</w:t>
      </w:r>
      <w:r w:rsidR="00585701">
        <w:t>t</w:t>
      </w:r>
      <w:r w:rsidR="00585701">
        <w:t xml:space="preserve">lichen </w:t>
      </w:r>
      <w:r>
        <w:t>erfolgt um 16:00 Uhr mit den Werten der Stunden 06:00 Uhr bis 12:00 Uhr und die zweite Weiterleitung um 19:00 Uhr mit den Werten der Stunden 06:00 Uhr bis 15:00 Uhr des Tages. Die zweite untertägige Informationsbereitstellung enthält, gegebene</w:t>
      </w:r>
      <w:r>
        <w:t>n</w:t>
      </w:r>
      <w:r>
        <w:t>falls in aktualisierter Form, auch den Erfassungszeitraum der ersten untertägigen Info</w:t>
      </w:r>
      <w:r>
        <w:t>r</w:t>
      </w:r>
      <w:r>
        <w:t>mationsbereitstellung.</w:t>
      </w:r>
    </w:p>
    <w:p w:rsidR="006C687F" w:rsidRPr="008455D0" w:rsidRDefault="006C687F" w:rsidP="006C687F">
      <w:pPr>
        <w:pStyle w:val="berschrift1"/>
      </w:pPr>
      <w:bookmarkStart w:id="30" w:name="_Toc476824416"/>
      <w:r>
        <w:t xml:space="preserve">§ 13 </w:t>
      </w:r>
      <w:r w:rsidRPr="008455D0">
        <w:t>Allokation</w:t>
      </w:r>
      <w:r>
        <w:t>sclearing</w:t>
      </w:r>
      <w:bookmarkEnd w:id="30"/>
    </w:p>
    <w:p w:rsidR="00BE159F" w:rsidRDefault="00BE159F" w:rsidP="00043A78">
      <w:pPr>
        <w:numPr>
          <w:ilvl w:val="0"/>
          <w:numId w:val="101"/>
        </w:numPr>
      </w:pPr>
      <w:r>
        <w:t>Der Allokationsclearingprozess wird angestoßen, sobald einer der Marktteilnehmer (Marktgebietsverantwortlicher, Bilanzkreisverantwortlicher/Transportkunde oder Netzb</w:t>
      </w:r>
      <w:r>
        <w:t>e</w:t>
      </w:r>
      <w:r>
        <w:t xml:space="preserve">treiber) nach dem Versand der finalen Allokation, beim SLP-Zeitreihentyp ist dies der Tag D-1, 12:00 Uhr, und beim RLM-Zeitreihentyp M+14 Werktage, feststellt, dass sich Abweichungen ergeben haben. </w:t>
      </w:r>
    </w:p>
    <w:p w:rsidR="00BE159F" w:rsidRDefault="00BE159F" w:rsidP="00BE159F">
      <w:pPr>
        <w:numPr>
          <w:ilvl w:val="0"/>
          <w:numId w:val="55"/>
        </w:numPr>
      </w:pPr>
      <w:r>
        <w:t xml:space="preserve">Im Falle </w:t>
      </w:r>
      <w:r w:rsidRPr="002B1B32">
        <w:t>der Zeitreihentypen RLMmT, RLMoT, ENTRYSO, EXITSO, ENTRY B</w:t>
      </w:r>
      <w:r>
        <w:t>iogas</w:t>
      </w:r>
      <w:r w:rsidRPr="002B1B32">
        <w:t xml:space="preserve"> </w:t>
      </w:r>
      <w:r>
        <w:t>und</w:t>
      </w:r>
      <w:r w:rsidRPr="002B1B32">
        <w:t xml:space="preserve"> </w:t>
      </w:r>
      <w:r>
        <w:t>ENTRY Wasserstoff</w:t>
      </w:r>
      <w:r w:rsidRPr="002B1B32">
        <w:t xml:space="preserve"> </w:t>
      </w:r>
      <w:r>
        <w:t xml:space="preserve">wird eine Mindestdifferenz von 500 kWh </w:t>
      </w:r>
      <w:r w:rsidR="00845103">
        <w:t>zwischen der all</w:t>
      </w:r>
      <w:r w:rsidR="00845103">
        <w:t>o</w:t>
      </w:r>
      <w:r w:rsidR="00845103">
        <w:t xml:space="preserve">kierten </w:t>
      </w:r>
      <w:r>
        <w:t xml:space="preserve">Monatsmenge </w:t>
      </w:r>
      <w:r w:rsidR="00845103">
        <w:t xml:space="preserve">je Zeitreihentyp in dem </w:t>
      </w:r>
      <w:r>
        <w:t xml:space="preserve">Bilanzkreis/Sub-Bilanzkonto </w:t>
      </w:r>
      <w:r w:rsidR="00845103" w:rsidRPr="00845103">
        <w:t>und der Summe der Monatsmengen der tatsächlichen ein- bzw. ausgespeisten Lastgänge der dem Bilan</w:t>
      </w:r>
      <w:r w:rsidR="00845103">
        <w:t>z</w:t>
      </w:r>
      <w:r w:rsidR="00845103" w:rsidRPr="00845103">
        <w:t xml:space="preserve">kreis/Sub-Bilanzkonto zugeordneten Ein- bzw. Ausspeisepunkte des Zeitreihentyps </w:t>
      </w:r>
      <w:r>
        <w:t>für das Allokationsclearing angesetzt. Abweichungen &lt;500 kWh we</w:t>
      </w:r>
      <w:r>
        <w:t>r</w:t>
      </w:r>
      <w:r>
        <w:t>den nicht gecleart.</w:t>
      </w:r>
    </w:p>
    <w:p w:rsidR="00BE159F" w:rsidRDefault="00BE159F" w:rsidP="00BE159F">
      <w:pPr>
        <w:numPr>
          <w:ilvl w:val="0"/>
          <w:numId w:val="55"/>
        </w:numPr>
      </w:pPr>
      <w:r>
        <w:t>Der Clearingzeitraum für die Durchführung des Allokationsclearings der Zeitreihe</w:t>
      </w:r>
      <w:r>
        <w:t>n</w:t>
      </w:r>
      <w:r>
        <w:t xml:space="preserve">typen gemäß lit. a) beginnt M+14 Werktage und endet M+2 Monate </w:t>
      </w:r>
      <w:r w:rsidR="00F73500">
        <w:t>-</w:t>
      </w:r>
      <w:r>
        <w:t xml:space="preserve"> 10 </w:t>
      </w:r>
      <w:r w:rsidRPr="008455D0">
        <w:t>Werktage</w:t>
      </w:r>
      <w:r>
        <w:t>,</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en kann. Für den Fall, dass der Bilanzkreisverantwortliche erst am letzten Tag der Clearin</w:t>
      </w:r>
      <w:r>
        <w:t>g</w:t>
      </w:r>
      <w:r>
        <w:t>frist das Clearing gegenüber dem Netzbetreiber angestoßen hat, kann der Netzb</w:t>
      </w:r>
      <w:r>
        <w:t>e</w:t>
      </w:r>
      <w:r>
        <w:t>treiber die Bearbeitung des Clearingfalles ablehnen, wenn ihm die Bearbeitung und Zusendung der CLEARING-ALOCAT-Nachrichten an den Marktgebietsverantwortl</w:t>
      </w:r>
      <w:r>
        <w:t>i</w:t>
      </w:r>
      <w:r>
        <w:t xml:space="preserve">chen bis zum Ablauf der Frist M+2 Monate </w:t>
      </w:r>
      <w:r w:rsidR="00F73500">
        <w:t>-</w:t>
      </w:r>
      <w:r>
        <w:t xml:space="preserve"> 10 Werktage nicht mehr zumutbar ist. </w:t>
      </w:r>
      <w:r w:rsidRPr="008455D0">
        <w:t>De</w:t>
      </w:r>
      <w:r>
        <w:t>r</w:t>
      </w:r>
      <w:r w:rsidRPr="008455D0">
        <w:t xml:space="preserve"> Bilanzkreisverantwortliche </w:t>
      </w:r>
      <w:r>
        <w:t>ist verpflichtet</w:t>
      </w:r>
      <w:r w:rsidRPr="008455D0">
        <w:t>, die Allokationen nach der Zusendung durch den Marktgebietsverantwortlichen</w:t>
      </w:r>
      <w:r>
        <w:t xml:space="preserve"> ab M+14 Werktage unverzüglich zu prüfen. Erfolgt innerhalb des genannten Zeitraums (M+2 Monate </w:t>
      </w:r>
      <w:r w:rsidR="00F73500">
        <w:t>-</w:t>
      </w:r>
      <w:r>
        <w:t xml:space="preserve"> 10 Werktage) keine B</w:t>
      </w:r>
      <w:r>
        <w:t>e</w:t>
      </w:r>
      <w:r>
        <w:t>anstandung der Allokationswerte durch den Bilanzkreisverantwortlichen, so gelten die Allokationswerte als einvernehmliche Grundlage für die spätere Abrechnung durch den Marktgebietsverantwortlichen.</w:t>
      </w:r>
      <w:r w:rsidRPr="00402CAD">
        <w:t xml:space="preserve"> </w:t>
      </w:r>
      <w:r w:rsidRPr="004945E2">
        <w:t xml:space="preserve">Nach dem </w:t>
      </w:r>
      <w:r>
        <w:t xml:space="preserve">Zeitpunkt M+2 Monate </w:t>
      </w:r>
      <w:r w:rsidR="00F73500">
        <w:t>-</w:t>
      </w:r>
      <w:r>
        <w:t xml:space="preserve"> 10 Werktage </w:t>
      </w:r>
      <w:r w:rsidRPr="004945E2">
        <w:t>finden keine Clearingprozesse mehr statt</w:t>
      </w:r>
      <w:r>
        <w:t>.</w:t>
      </w:r>
      <w:r w:rsidR="00845103">
        <w:t xml:space="preserve"> Dies gilt nicht, wenn der Mark</w:t>
      </w:r>
      <w:r w:rsidR="00845103">
        <w:t>t</w:t>
      </w:r>
      <w:r w:rsidR="00845103">
        <w:t>gebietsverantwortliche aufgrund von Verarbeitungsproblemen, die in seinem V</w:t>
      </w:r>
      <w:r w:rsidR="00845103">
        <w:t>e</w:t>
      </w:r>
      <w:r w:rsidR="00845103">
        <w:t>rantwortungsbereich liegen, die Allokationsdaten nicht verarbeiten konnte.</w:t>
      </w:r>
    </w:p>
    <w:p w:rsidR="00BE159F" w:rsidRDefault="00BE159F" w:rsidP="00BE159F">
      <w:pPr>
        <w:numPr>
          <w:ilvl w:val="0"/>
          <w:numId w:val="55"/>
        </w:numPr>
      </w:pPr>
      <w:r>
        <w:t xml:space="preserve">Der </w:t>
      </w:r>
      <w:r w:rsidRPr="004945E2">
        <w:t xml:space="preserve">Allokationsclearingprozess </w:t>
      </w:r>
      <w:r>
        <w:t xml:space="preserve">der Zeitreihentypen gemäß lit. a) </w:t>
      </w:r>
      <w:r w:rsidRPr="004945E2">
        <w:t xml:space="preserve">beginnt, indem der Bilanzkreisverantwortliche vom Marktgebietsverantwortlichen </w:t>
      </w:r>
      <w:r w:rsidR="00F75959">
        <w:t xml:space="preserve">auf Antrag </w:t>
      </w:r>
      <w:r w:rsidRPr="004945E2">
        <w:t>eine Cle</w:t>
      </w:r>
      <w:r w:rsidRPr="004945E2">
        <w:t>a</w:t>
      </w:r>
      <w:r w:rsidRPr="004945E2">
        <w:t>ringnummer erhält, unabhängig davon, wer das Allokationsclearingverfahren ang</w:t>
      </w:r>
      <w:r w:rsidRPr="004945E2">
        <w:t>e</w:t>
      </w:r>
      <w:r w:rsidRPr="004945E2">
        <w:t>stoßen hat.</w:t>
      </w:r>
      <w:r w:rsidRPr="008814F3">
        <w:t xml:space="preserve"> </w:t>
      </w:r>
      <w:r w:rsidRPr="00EF5115">
        <w:t>Der Marktgebietsverantwortliche übersendet die Details des Clearin</w:t>
      </w:r>
      <w:r w:rsidRPr="00EF5115">
        <w:t>g</w:t>
      </w:r>
      <w:r w:rsidRPr="00EF5115">
        <w:t xml:space="preserve">vorgangs - bis auf die Clearingnummer - wie Bilanzkreis-/Sub-Bilanzkontonummer, </w:t>
      </w:r>
      <w:r>
        <w:t>Zeitraum</w:t>
      </w:r>
      <w:r w:rsidRPr="00EF5115">
        <w:t xml:space="preserve"> und Zeitreihentyp an den Netzbetreiber. Der Bilanzkreisverantwortliche übersendet die Details des Clearingvorgangs wie Bilanzkreis/Sub-Bilanzkontonummer, </w:t>
      </w:r>
      <w:r>
        <w:t>Zeitraum</w:t>
      </w:r>
      <w:r w:rsidRPr="00EF5115">
        <w:t xml:space="preserve"> und Zeitreihentyp zusammen mit der Menge an den Netzbetreiber.</w:t>
      </w:r>
      <w:r w:rsidR="00F75959" w:rsidRPr="00F75959">
        <w:t xml:space="preserve"> Nach erfolgter Abstimmung und den notwendigen Zustimmungen der vom Allokationsclearing betroffenen Marktpartner übersendet der Bilanzkreisveran</w:t>
      </w:r>
      <w:r w:rsidR="00F75959" w:rsidRPr="00F75959">
        <w:t>t</w:t>
      </w:r>
      <w:r w:rsidR="00F75959" w:rsidRPr="00F75959">
        <w:t>wortliche dem Netzbetreiber die zugehörige Clearingnummer.</w:t>
      </w:r>
      <w:r w:rsidRPr="004945E2">
        <w:t xml:space="preserve"> Jede Clearingnummer darf nur f</w:t>
      </w:r>
      <w:r>
        <w:t xml:space="preserve">ür </w:t>
      </w:r>
      <w:r w:rsidRPr="00617995">
        <w:t>den zu clearenden Zeitraum z.B.</w:t>
      </w:r>
      <w:r>
        <w:t xml:space="preserve"> </w:t>
      </w:r>
      <w:r w:rsidRPr="00696629">
        <w:rPr>
          <w:rFonts w:cs="Arial"/>
        </w:rPr>
        <w:t>einzelne Tage („Tagesclearingnu</w:t>
      </w:r>
      <w:r w:rsidRPr="00696629">
        <w:rPr>
          <w:rFonts w:cs="Arial"/>
        </w:rPr>
        <w:t>m</w:t>
      </w:r>
      <w:r w:rsidRPr="00696629">
        <w:rPr>
          <w:rFonts w:cs="Arial"/>
        </w:rPr>
        <w:t>mer“)</w:t>
      </w:r>
      <w:r>
        <w:t xml:space="preserve"> und nur einmal für einen Bilanzkreis/Sub-Bilanzkonto und Zeitreihentyp sowie Netzbetreiber verwendet werden.</w:t>
      </w:r>
      <w:r w:rsidRPr="00696629">
        <w:rPr>
          <w:rFonts w:cs="Arial"/>
        </w:rPr>
        <w:t xml:space="preserve"> Der M</w:t>
      </w:r>
      <w:r>
        <w:rPr>
          <w:rFonts w:cs="Arial"/>
        </w:rPr>
        <w:t>arktgebietsverantwortliche</w:t>
      </w:r>
      <w:r w:rsidRPr="00696629">
        <w:rPr>
          <w:rFonts w:cs="Arial"/>
        </w:rPr>
        <w:t xml:space="preserve"> kann neben der Tagesclearingnummer auch das Clearing eines ganzen Liefermonats in Form einer Monatsclearingnummer anbieten. Bei der Tagesclearingnummer m</w:t>
      </w:r>
      <w:r>
        <w:rPr>
          <w:rFonts w:cs="Arial"/>
        </w:rPr>
        <w:t xml:space="preserve">üssen </w:t>
      </w:r>
      <w:r w:rsidRPr="00591DF9">
        <w:rPr>
          <w:rFonts w:cs="Arial"/>
        </w:rPr>
        <w:t>die</w:t>
      </w:r>
      <w:r>
        <w:rPr>
          <w:rFonts w:cs="Arial"/>
        </w:rPr>
        <w:t xml:space="preserve"> </w:t>
      </w:r>
      <w:r w:rsidRPr="00591DF9">
        <w:rPr>
          <w:rFonts w:cs="Arial"/>
        </w:rPr>
        <w:t>korr</w:t>
      </w:r>
      <w:r w:rsidRPr="00591DF9">
        <w:rPr>
          <w:rFonts w:cs="Arial"/>
        </w:rPr>
        <w:t>i</w:t>
      </w:r>
      <w:r w:rsidRPr="00591DF9">
        <w:rPr>
          <w:rFonts w:cs="Arial"/>
        </w:rPr>
        <w:t xml:space="preserve">gierten Allokationslastgänge eines einzelnen Tages neu geschickt werden. Bei der Monatsclearingnummer müssen die </w:t>
      </w:r>
      <w:r w:rsidRPr="00591DF9">
        <w:t xml:space="preserve">Allokationslastgänge </w:t>
      </w:r>
      <w:r w:rsidRPr="00591DF9">
        <w:rPr>
          <w:rFonts w:cs="Arial"/>
        </w:rPr>
        <w:t>des gesamten Lieferm</w:t>
      </w:r>
      <w:r w:rsidRPr="00591DF9">
        <w:rPr>
          <w:rFonts w:cs="Arial"/>
        </w:rPr>
        <w:t>o</w:t>
      </w:r>
      <w:r w:rsidRPr="00591DF9">
        <w:rPr>
          <w:rFonts w:cs="Arial"/>
        </w:rPr>
        <w:t>nats neu geschickt werden. Sowohl die Monats</w:t>
      </w:r>
      <w:r w:rsidRPr="00696629">
        <w:rPr>
          <w:rFonts w:cs="Arial"/>
        </w:rPr>
        <w:t>- als auch die Tagesclearingnummer verfällt entweder nach der Benutzung oder nach Ablauf des Clearingzeitraums.</w:t>
      </w:r>
      <w:r>
        <w:t xml:space="preserve"> </w:t>
      </w:r>
      <w:r w:rsidR="00F75959">
        <w:t>D</w:t>
      </w:r>
      <w:r>
        <w:t xml:space="preserve">er Netzbetreiber </w:t>
      </w:r>
      <w:r w:rsidR="00F75959">
        <w:t xml:space="preserve">übermittelt </w:t>
      </w:r>
      <w:r>
        <w:t>dem Marktgebietsverantwortlichen die CLEARING-ALOCAT-Nachrichten, in der die vom Bilanzkreisverantwortlichen ihm mitgeteilte Clearingnummer enthalten ist. Die CLEARING-ALOCAT-Nachrichten</w:t>
      </w:r>
      <w:r w:rsidR="00F75959" w:rsidRPr="00F75959">
        <w:t>, eine für die geclearte mit Bilanzierungsbrennwert umgewertete RLM-Zeitreihe und eine für die geclearte mit Abrechnungsbrennwert umgewertete RLM-Zeitreihe</w:t>
      </w:r>
      <w:r>
        <w:t xml:space="preserve"> werden nach Z</w:t>
      </w:r>
      <w:r>
        <w:t>u</w:t>
      </w:r>
      <w:r>
        <w:t>gang beim Marktgebietsverantwortlichen von diesem an den Bilanzkreisverantwortl</w:t>
      </w:r>
      <w:r>
        <w:t>i</w:t>
      </w:r>
      <w:r>
        <w:t xml:space="preserve">chen übersendet. </w:t>
      </w:r>
      <w:r w:rsidR="00F75959">
        <w:t xml:space="preserve">Durch diesen Prozess </w:t>
      </w:r>
      <w:r>
        <w:t>ist gewährleistet, dass das Allokationscle</w:t>
      </w:r>
      <w:r>
        <w:t>a</w:t>
      </w:r>
      <w:r>
        <w:t xml:space="preserve">ring zwischen allen Marktpartnern abgeschlossen ist. Allokationen von RLM-Kunden, die vor dem 12. Werktag versendet werden, </w:t>
      </w:r>
      <w:r w:rsidR="00312C8C">
        <w:t>enthalten keine Clearingnummer.</w:t>
      </w:r>
    </w:p>
    <w:p w:rsidR="00BE159F" w:rsidRPr="001106A8" w:rsidRDefault="00BE159F" w:rsidP="00BE159F">
      <w:pPr>
        <w:numPr>
          <w:ilvl w:val="0"/>
          <w:numId w:val="55"/>
        </w:numPr>
      </w:pPr>
      <w:r>
        <w:t>Der Netzbetreiber kann beim Marktgebietsverantwortlichen eine Netzbetreiber-Clearingnummer für ein RLM-Allokationsclearing anfordern. In diesem Fall überse</w:t>
      </w:r>
      <w:r>
        <w:t>n</w:t>
      </w:r>
      <w:r>
        <w:t>det d</w:t>
      </w:r>
      <w:r w:rsidRPr="00756AA1">
        <w:t xml:space="preserve">er Marktgebietsverantwortliche </w:t>
      </w:r>
      <w:r w:rsidRPr="00445BB2">
        <w:t>an den Bilanzkreisverantwortlichen</w:t>
      </w:r>
      <w:r w:rsidRPr="00756AA1">
        <w:t xml:space="preserve"> die </w:t>
      </w:r>
      <w:r w:rsidR="002658B9">
        <w:t xml:space="preserve">Details des Clearingvorganges – </w:t>
      </w:r>
      <w:r w:rsidRPr="00445BB2">
        <w:t>Netzkonto</w:t>
      </w:r>
      <w:r>
        <w:t>- und die Bilanzkreisn</w:t>
      </w:r>
      <w:r w:rsidRPr="00445BB2">
        <w:t>ummer, Zeitraum und Zei</w:t>
      </w:r>
      <w:r w:rsidRPr="00445BB2">
        <w:t>t</w:t>
      </w:r>
      <w:r w:rsidRPr="00445BB2">
        <w:t>reihentyp.</w:t>
      </w:r>
      <w:r>
        <w:t xml:space="preserve"> Der Netzbetreiber übermittelt dem Marktgebietsverantwortlichen die CLEARING-ALOCAT-Nachrichten mit der Netzbetreiber-Clearingnummer</w:t>
      </w:r>
      <w:r w:rsidRPr="000D37FD">
        <w:t xml:space="preserve"> </w:t>
      </w:r>
      <w:r w:rsidRPr="00445BB2">
        <w:t>sowohl für di</w:t>
      </w:r>
      <w:r>
        <w:t xml:space="preserve">e geclearte mit Bilanzierungsbrennwert umgewertete RLM-Zeitreihe als auch für die geclearte mit Abrechnungsbrennwert umgewertete RLM-Zeitreihe. </w:t>
      </w:r>
      <w:r w:rsidRPr="002B39D8">
        <w:t xml:space="preserve">Der Marktgebietverantwortliche zieht für die Bilanzierung </w:t>
      </w:r>
      <w:r>
        <w:t>nur die</w:t>
      </w:r>
      <w:r w:rsidRPr="002B39D8">
        <w:t xml:space="preserve"> C</w:t>
      </w:r>
      <w:r w:rsidRPr="001C01E2">
        <w:t>LEARING-</w:t>
      </w:r>
      <w:r w:rsidRPr="0060339F">
        <w:t>ALOCAT</w:t>
      </w:r>
      <w:r>
        <w:t>-Nachricht</w:t>
      </w:r>
      <w:r w:rsidRPr="0060339F">
        <w:t xml:space="preserve"> mit Netzbetreiber</w:t>
      </w:r>
      <w:r w:rsidRPr="00307DD4">
        <w:t>-Clearingnummer</w:t>
      </w:r>
      <w:r>
        <w:t xml:space="preserve"> heran, </w:t>
      </w:r>
      <w:r w:rsidRPr="00307DD4">
        <w:t xml:space="preserve">die </w:t>
      </w:r>
      <w:r>
        <w:t xml:space="preserve">die </w:t>
      </w:r>
      <w:r w:rsidRPr="00307DD4">
        <w:t>mit Abrechnungsbren</w:t>
      </w:r>
      <w:r w:rsidRPr="00307DD4">
        <w:t>n</w:t>
      </w:r>
      <w:r w:rsidRPr="00307DD4">
        <w:t xml:space="preserve">wert </w:t>
      </w:r>
      <w:r>
        <w:t>umg</w:t>
      </w:r>
      <w:r w:rsidRPr="00307DD4">
        <w:t>ewerte</w:t>
      </w:r>
      <w:r>
        <w:t>te</w:t>
      </w:r>
      <w:r w:rsidRPr="00307DD4">
        <w:t xml:space="preserve"> Menge </w:t>
      </w:r>
      <w:r>
        <w:t>enthält, und sendet nur diese an den Bilanzkreisveran</w:t>
      </w:r>
      <w:r>
        <w:t>t</w:t>
      </w:r>
      <w:r>
        <w:t>wortlichen.</w:t>
      </w:r>
    </w:p>
    <w:p w:rsidR="00BE159F" w:rsidRDefault="00BE159F" w:rsidP="00BE159F">
      <w:pPr>
        <w:numPr>
          <w:ilvl w:val="0"/>
          <w:numId w:val="55"/>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rsidR="00BE159F" w:rsidRDefault="00BE159F" w:rsidP="00BE159F">
      <w:pPr>
        <w:ind w:left="851"/>
      </w:pPr>
      <w:r w:rsidRPr="00807D1C">
        <w:t xml:space="preserve">Für den Fall, dass ein Clearingvorgang mindestens </w:t>
      </w:r>
      <w:r>
        <w:t xml:space="preserve">mit einer </w:t>
      </w:r>
      <w:r w:rsidRPr="00807D1C">
        <w:t>Bilanzkreisverantwortl</w:t>
      </w:r>
      <w:r w:rsidRPr="00807D1C">
        <w:t>i</w:t>
      </w:r>
      <w:r w:rsidRPr="00807D1C">
        <w:t xml:space="preserve">chen-Clearingnummer und </w:t>
      </w:r>
      <w:r>
        <w:t xml:space="preserve">mit </w:t>
      </w:r>
      <w:r w:rsidR="002658B9">
        <w:t xml:space="preserve">mindestens </w:t>
      </w:r>
      <w:r>
        <w:t xml:space="preserve">einer </w:t>
      </w:r>
      <w:r w:rsidRPr="00807D1C">
        <w:t>Netzbetreiber-Clearingnummer durchgeführt wurde, ve</w:t>
      </w:r>
      <w:r>
        <w:t>r</w:t>
      </w:r>
      <w:r w:rsidRPr="00807D1C">
        <w:t>wendet der Marktgebietsverantwortliche die mit Bilanzi</w:t>
      </w:r>
      <w:r w:rsidRPr="00807D1C">
        <w:t>e</w:t>
      </w:r>
      <w:r w:rsidRPr="00807D1C">
        <w:t xml:space="preserve">rungsbrennwert umgewertete Menge, die zuletzt mit </w:t>
      </w:r>
      <w:r w:rsidR="002658B9">
        <w:t>ein</w:t>
      </w:r>
      <w:r w:rsidRPr="00807D1C">
        <w:t>er Bilanzkreisverantwortl</w:t>
      </w:r>
      <w:r w:rsidRPr="00807D1C">
        <w:t>i</w:t>
      </w:r>
      <w:r w:rsidRPr="00807D1C">
        <w:t>chen-Clearingnummer geschickt wurde</w:t>
      </w:r>
      <w:r>
        <w:t>,</w:t>
      </w:r>
      <w:r w:rsidRPr="00807D1C">
        <w:t xml:space="preserve"> und die mit Abrechnungsbrennwert umg</w:t>
      </w:r>
      <w:r w:rsidRPr="00807D1C">
        <w:t>e</w:t>
      </w:r>
      <w:r w:rsidRPr="00807D1C">
        <w:t>wertete Menge aus der zuletzt gesendeten Nac</w:t>
      </w:r>
      <w:r>
        <w:t>h</w:t>
      </w:r>
      <w:r w:rsidRPr="00807D1C">
        <w:t xml:space="preserve">richt. </w:t>
      </w:r>
    </w:p>
    <w:p w:rsidR="00BE159F" w:rsidRDefault="00BE159F" w:rsidP="00BE159F">
      <w:pPr>
        <w:ind w:left="851"/>
      </w:pPr>
      <w:r w:rsidRPr="00807D1C">
        <w:t>Für den Fall, dass ein Clearingvorgang mehrfach ausschließlich mit Bilan</w:t>
      </w:r>
      <w:r>
        <w:t>z</w:t>
      </w:r>
      <w:r w:rsidRPr="00807D1C">
        <w:t>kreisv</w:t>
      </w:r>
      <w:r w:rsidRPr="00807D1C">
        <w:t>e</w:t>
      </w:r>
      <w:r w:rsidRPr="00807D1C">
        <w:t>rantwortlichen-Clearingnummer durchgeführt wurde, verwendet der Marktgebietsv</w:t>
      </w:r>
      <w:r w:rsidRPr="00807D1C">
        <w:t>e</w:t>
      </w:r>
      <w:r w:rsidRPr="00807D1C">
        <w:t>ran</w:t>
      </w:r>
      <w:r>
        <w:t>t</w:t>
      </w:r>
      <w:r w:rsidRPr="00807D1C">
        <w:t xml:space="preserve">wortliche die zuletzt gesendete Nachricht. </w:t>
      </w:r>
    </w:p>
    <w:p w:rsidR="00BE159F" w:rsidRDefault="00BE159F" w:rsidP="00BE159F">
      <w:pPr>
        <w:numPr>
          <w:ilvl w:val="0"/>
          <w:numId w:val="55"/>
        </w:numPr>
      </w:pPr>
      <w:r>
        <w:t>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w:t>
      </w:r>
      <w:r>
        <w:t>i</w:t>
      </w:r>
      <w:r>
        <w:t xml:space="preserve">lanzkreisabrechnung bereits erfolgt ist. </w:t>
      </w:r>
    </w:p>
    <w:p w:rsidR="00BE159F" w:rsidRDefault="00BE159F" w:rsidP="00BE159F">
      <w:pPr>
        <w:numPr>
          <w:ilvl w:val="0"/>
          <w:numId w:val="55"/>
        </w:numPr>
      </w:pPr>
      <w:r>
        <w:t>Im Falle von SLP-Ausspeisepunkten findet ein Allokationsclearing nur statt, sobald die Summe der SLP-</w:t>
      </w:r>
      <w:r w:rsidRPr="00CD7012">
        <w:t>Allokation</w:t>
      </w:r>
      <w:r>
        <w:t>en</w:t>
      </w:r>
      <w:r w:rsidRPr="00CD7012">
        <w:t xml:space="preserve"> des Tages D </w:t>
      </w:r>
      <w:r>
        <w:t>(versendet am Tag D-1) um mehr bzw. gleich 100% der Vortagesmenge oder weniger bzw. gleich 50 % der Vortage</w:t>
      </w:r>
      <w:r>
        <w:t>s</w:t>
      </w:r>
      <w:r>
        <w:t xml:space="preserve">menge ausmachen und mindestens um 25.000 kWh von der Allokation am Tag D-1 abweichen. </w:t>
      </w:r>
      <w:r w:rsidRPr="00C206D2">
        <w:t>Erfolgt erstmals eine SLP-Deklaration für einen B</w:t>
      </w:r>
      <w:r>
        <w:t xml:space="preserve">ilanzkreis </w:t>
      </w:r>
      <w:r w:rsidRPr="00C206D2">
        <w:t xml:space="preserve">bzw. </w:t>
      </w:r>
      <w:r>
        <w:t xml:space="preserve">ein </w:t>
      </w:r>
      <w:r w:rsidRPr="00C206D2">
        <w:t>S</w:t>
      </w:r>
      <w:r>
        <w:t>ub-Bilanzkonto</w:t>
      </w:r>
      <w:r w:rsidRPr="00C206D2">
        <w:t xml:space="preserve"> und keine Allok</w:t>
      </w:r>
      <w:r>
        <w:t>ation durch den Netzbetreiber, kann der Marktg</w:t>
      </w:r>
      <w:r>
        <w:t>e</w:t>
      </w:r>
      <w:r>
        <w:t>bietsverantwortliche</w:t>
      </w:r>
      <w:r w:rsidRPr="00C206D2">
        <w:t xml:space="preserve"> keine Ersatzwerte auf Vortag</w:t>
      </w:r>
      <w:r>
        <w:t>e</w:t>
      </w:r>
      <w:r w:rsidRPr="00C206D2">
        <w:t xml:space="preserve">sbasis bilden und es erfolgt eine Nullallokation. Für diese Daten </w:t>
      </w:r>
      <w:r w:rsidR="00063942">
        <w:t>oder eine SLP-Ersatzwertallokation vom Marktg</w:t>
      </w:r>
      <w:r w:rsidR="00063942">
        <w:t>e</w:t>
      </w:r>
      <w:r w:rsidR="00063942">
        <w:t xml:space="preserve">bietsverantwortlichen </w:t>
      </w:r>
      <w:r w:rsidRPr="00C206D2">
        <w:t>kann ohne Prüfung auf Grenzwerte immer ein Clearing erfo</w:t>
      </w:r>
      <w:r w:rsidRPr="00C206D2">
        <w:t>l</w:t>
      </w:r>
      <w:r w:rsidRPr="00C206D2">
        <w:t>gen</w:t>
      </w:r>
      <w:r>
        <w:t>.</w:t>
      </w:r>
      <w:r w:rsidR="002658B9" w:rsidRPr="002658B9">
        <w:t xml:space="preserve"> </w:t>
      </w:r>
      <w:r w:rsidR="002658B9" w:rsidRPr="00721617">
        <w:t xml:space="preserve">Dies gilt auch, wenn der </w:t>
      </w:r>
      <w:r w:rsidR="00585701">
        <w:t xml:space="preserve">Marktgebietsverantwortliche </w:t>
      </w:r>
      <w:r w:rsidR="002658B9" w:rsidRPr="00721617">
        <w:t>aufgrund von Verarbe</w:t>
      </w:r>
      <w:r w:rsidR="002658B9" w:rsidRPr="00721617">
        <w:t>i</w:t>
      </w:r>
      <w:r w:rsidR="00312C8C">
        <w:t>tungsproblemen</w:t>
      </w:r>
      <w:r w:rsidR="002658B9" w:rsidRPr="00721617">
        <w:t xml:space="preserve"> die in seinem Verantwortungsbereich liegen, die SLP-Allokationsdaten nicht verarbeiten konnte.</w:t>
      </w:r>
      <w:r w:rsidR="002658B9">
        <w:t xml:space="preserve"> Erfolgt untermonatlich durch den Netzb</w:t>
      </w:r>
      <w:r w:rsidR="002658B9">
        <w:t>e</w:t>
      </w:r>
      <w:r w:rsidR="002658B9">
        <w:t>treiber eine fehlerhafte Nullallokation, so kann ohne Prüfung der in Satz 1 genannten Grenzen immer ein Clearing erfolgen.</w:t>
      </w:r>
    </w:p>
    <w:p w:rsidR="00BE159F" w:rsidRDefault="00BE159F" w:rsidP="00BE159F">
      <w:pPr>
        <w:numPr>
          <w:ilvl w:val="0"/>
          <w:numId w:val="55"/>
        </w:numPr>
      </w:pPr>
      <w:r>
        <w:t>Das Allokationsclearingfenster für SLP-Ausspeisepunkte</w:t>
      </w:r>
      <w:r w:rsidRPr="007B799C">
        <w:t xml:space="preserve"> beginnt am Tag D-1, ab 13:00 Uhr, und endet M+2 Monate </w:t>
      </w:r>
      <w:r w:rsidR="00F73500">
        <w:t>-</w:t>
      </w:r>
      <w:r w:rsidRPr="007B799C">
        <w:t xml:space="preserve"> 10 Werktage,</w:t>
      </w:r>
      <w:r w:rsidRPr="00376982">
        <w:t xml:space="preserve"> </w:t>
      </w:r>
      <w:r w:rsidRPr="007B799C">
        <w:t>damit der Marktgebietsverantwor</w:t>
      </w:r>
      <w:r w:rsidRPr="007B799C">
        <w:t>t</w:t>
      </w:r>
      <w:r w:rsidRPr="007B799C">
        <w:t xml:space="preserve">liche </w:t>
      </w:r>
      <w:r>
        <w:t xml:space="preserve">innerhalb von 10 Werktagen </w:t>
      </w:r>
      <w:r w:rsidRPr="007B799C">
        <w:t xml:space="preserve">die Ergebnisse des Clearingprozesses verarbeiten </w:t>
      </w:r>
      <w:r>
        <w:t xml:space="preserve">und </w:t>
      </w:r>
      <w:r w:rsidRPr="007B799C">
        <w:t>die Bilanzkreisabrechnung erstell</w:t>
      </w:r>
      <w:r>
        <w:t>en kann.</w:t>
      </w:r>
      <w:r w:rsidRPr="00656EFA">
        <w:t xml:space="preserve"> </w:t>
      </w:r>
      <w:r>
        <w:t>Für den Fall, dass der Bilanzkreisv</w:t>
      </w:r>
      <w:r>
        <w:t>e</w:t>
      </w:r>
      <w:r>
        <w:t>rantwortliche erst am letzten Tag der Clearingfrist das Clearing gegenüber dem Netzbetreiber angestoßen hat, kann der Netzbetreiber die Bearbeitung des Clearin</w:t>
      </w:r>
      <w:r>
        <w:t>g</w:t>
      </w:r>
      <w:r>
        <w:t xml:space="preserve">falles ablehnen, wenn ihm die Bearbeitung und Zusendung einer CLEARING-ALOCAT-Nachricht an den Marktgebietsverantwortlichen bis zum Ablauf der Frist M+2 Monate </w:t>
      </w:r>
      <w:r w:rsidR="00F73500">
        <w:t>-</w:t>
      </w:r>
      <w:r>
        <w:t xml:space="preserve"> 10 Werktage nicht mehr zumutbar ist. </w:t>
      </w:r>
      <w:r w:rsidRPr="00A06068">
        <w:t>Der Bilanzkreisverantwortliche ist verpflichtet, die Allokationen nach der Zusendung durch den Marktgebietsveran</w:t>
      </w:r>
      <w:r w:rsidRPr="00A06068">
        <w:t>t</w:t>
      </w:r>
      <w:r w:rsidRPr="00A06068">
        <w:t xml:space="preserve">wortlichen ab </w:t>
      </w:r>
      <w:r>
        <w:t xml:space="preserve">D-1 13:00 Uhr </w:t>
      </w:r>
      <w:r w:rsidRPr="00A06068">
        <w:t xml:space="preserve">unverzüglich zu prüfen. Erfolgt innerhalb des </w:t>
      </w:r>
      <w:r>
        <w:t>vor</w:t>
      </w:r>
      <w:r w:rsidRPr="00A06068">
        <w:t>g</w:t>
      </w:r>
      <w:r w:rsidRPr="00A06068">
        <w:t>e</w:t>
      </w:r>
      <w:r w:rsidRPr="00A06068">
        <w:t xml:space="preserve">nannten Zeitraums </w:t>
      </w:r>
      <w:r>
        <w:t xml:space="preserve">(M+2 Monate-10 Werktage) </w:t>
      </w:r>
      <w:r w:rsidRPr="00A06068">
        <w:t>keine Beanstandung der Allokat</w:t>
      </w:r>
      <w:r w:rsidRPr="00A06068">
        <w:t>i</w:t>
      </w:r>
      <w:r w:rsidRPr="00A06068">
        <w:t>onswerte durch den Bilanzkreisverantwortlichen, so gelten die Allokationswerte als einvernehmliche Grundlage für die spätere Abrechnung durch den Marktgebietsv</w:t>
      </w:r>
      <w:r w:rsidRPr="00A06068">
        <w:t>e</w:t>
      </w:r>
      <w:r w:rsidRPr="00A06068">
        <w:t xml:space="preserve">rantwortlichen. </w:t>
      </w:r>
      <w:r w:rsidRPr="004945E2">
        <w:t xml:space="preserve">Nach dem </w:t>
      </w:r>
      <w:r>
        <w:t xml:space="preserve">Zeitpunkt M+2 Monate </w:t>
      </w:r>
      <w:r w:rsidR="00F73500">
        <w:t>-</w:t>
      </w:r>
      <w:r>
        <w:t xml:space="preserve"> 10 Werktage </w:t>
      </w:r>
      <w:r w:rsidRPr="004945E2">
        <w:t>finden keine Cle</w:t>
      </w:r>
      <w:r w:rsidRPr="004945E2">
        <w:t>a</w:t>
      </w:r>
      <w:r>
        <w:t>ringprozesse mehr statt</w:t>
      </w:r>
      <w:r w:rsidRPr="00D17B85">
        <w:t>.</w:t>
      </w:r>
    </w:p>
    <w:p w:rsidR="00BE159F" w:rsidRDefault="00BE159F" w:rsidP="00BE159F">
      <w:pPr>
        <w:numPr>
          <w:ilvl w:val="0"/>
          <w:numId w:val="55"/>
        </w:numPr>
      </w:pPr>
      <w:r w:rsidRPr="007B799C">
        <w:t>Sofern die Kriterien für ein SLP-Allokationsclearing erfüllt sind, kann der Bilanzkrei</w:t>
      </w:r>
      <w:r w:rsidRPr="007B799C">
        <w:t>s</w:t>
      </w:r>
      <w:r w:rsidRPr="007B799C">
        <w:t>verantwortliche die Mengen des Tages D-1 nominieren. Der Bilanzkreisverantwortl</w:t>
      </w:r>
      <w:r w:rsidRPr="007B799C">
        <w:t>i</w:t>
      </w:r>
      <w:r w:rsidRPr="007B799C">
        <w:t>che kann verlangen, dass diese Menge als Clearingmenge vom Ausspeisenetzb</w:t>
      </w:r>
      <w:r w:rsidRPr="007B799C">
        <w:t>e</w:t>
      </w:r>
      <w:r w:rsidRPr="007B799C">
        <w:t>treiber und Marktgebietsverantwortlichen akzeptiert wird.</w:t>
      </w:r>
    </w:p>
    <w:p w:rsidR="00BE159F" w:rsidRDefault="00BE159F" w:rsidP="00BE159F">
      <w:pPr>
        <w:numPr>
          <w:ilvl w:val="0"/>
          <w:numId w:val="55"/>
        </w:numPr>
      </w:pPr>
      <w:r w:rsidRPr="007B799C">
        <w:t>Ein SLP-Allokationsclearingprozess beginnt, indem ausschließlich der Bilanzkreisv</w:t>
      </w:r>
      <w:r w:rsidRPr="007B799C">
        <w:t>e</w:t>
      </w:r>
      <w:r w:rsidRPr="007B799C">
        <w:t xml:space="preserve">rantwortliche vom Marktgebietsverantwortlichen </w:t>
      </w:r>
      <w:r w:rsidR="002658B9">
        <w:t xml:space="preserve">auf Antrag </w:t>
      </w:r>
      <w:r w:rsidRPr="007B799C">
        <w:t>eine Clearingnummer e</w:t>
      </w:r>
      <w:r w:rsidRPr="007B799C">
        <w:t>r</w:t>
      </w:r>
      <w:r w:rsidRPr="007B799C">
        <w:t xml:space="preserve">hält, unabhängig davon, wer das Allokationsclearingverfahren angestoßen hat. </w:t>
      </w:r>
      <w:r w:rsidRPr="008D5393">
        <w:t>De</w:t>
      </w:r>
      <w:r>
        <w:t>r Marktgebietsverantwortliche</w:t>
      </w:r>
      <w:r w:rsidRPr="008D5393">
        <w:t xml:space="preserve"> übersendet die Details des Clearingvorgangs </w:t>
      </w:r>
      <w:r>
        <w:t xml:space="preserve">- bis auf die Clearingnummer - </w:t>
      </w:r>
      <w:r w:rsidRPr="008D5393">
        <w:t>wie Bilanzkreis</w:t>
      </w:r>
      <w:r>
        <w:t>-/Sub-Bilanzkontonummer, Datum und</w:t>
      </w:r>
      <w:r w:rsidRPr="008D5393">
        <w:t xml:space="preserve"> Zeitre</w:t>
      </w:r>
      <w:r w:rsidRPr="008D5393">
        <w:t>i</w:t>
      </w:r>
      <w:r w:rsidRPr="008D5393">
        <w:t>hentyp an den Netzbetreiber</w:t>
      </w:r>
      <w:r>
        <w:t>.</w:t>
      </w:r>
      <w:r w:rsidRPr="007B799C">
        <w:t xml:space="preserve"> Der Bilanzkreisverantwortliche übersendet die Details des Clearingvorgangs wie Bilanzkreis/Sub-Bilanzkontonummer, Datum</w:t>
      </w:r>
      <w:r>
        <w:t xml:space="preserve"> und</w:t>
      </w:r>
      <w:r w:rsidRPr="007B799C">
        <w:t xml:space="preserve"> Zeitre</w:t>
      </w:r>
      <w:r w:rsidRPr="007B799C">
        <w:t>i</w:t>
      </w:r>
      <w:r w:rsidRPr="007B799C">
        <w:t xml:space="preserve">hentyp </w:t>
      </w:r>
      <w:r>
        <w:t xml:space="preserve">zusammen mit der Clearingnummer </w:t>
      </w:r>
      <w:r w:rsidRPr="007B799C">
        <w:t xml:space="preserve">und Menge an den Netzbetreiber. Jede Clearingnummer </w:t>
      </w:r>
      <w:r w:rsidRPr="00CD7012">
        <w:t>darf nur für einen Tag und nur einmal für einen Bilanzkreis/Sub-Bilanzkonto und Zeitreihentyp sowie Netzbetreiber verwendet</w:t>
      </w:r>
      <w:r w:rsidRPr="007B799C">
        <w:t xml:space="preserve"> werden.</w:t>
      </w:r>
      <w:r>
        <w:t xml:space="preserve"> </w:t>
      </w:r>
      <w:r w:rsidRPr="007B799C">
        <w:t>Der Netzb</w:t>
      </w:r>
      <w:r w:rsidRPr="007B799C">
        <w:t>e</w:t>
      </w:r>
      <w:r w:rsidRPr="007B799C">
        <w:t>treiber prüft unverzüglich die Allokation. Sofern die Allokation fehlerhaft war, erstellt der Netzbetreiber eine neue Allokation auf Basis der Vortagesmenge bzw. abg</w:t>
      </w:r>
      <w:r w:rsidRPr="007B799C">
        <w:t>e</w:t>
      </w:r>
      <w:r w:rsidRPr="007B799C">
        <w:t>stimmten Mengen und übersendet diese als CLEARING-ALOCAT</w:t>
      </w:r>
      <w:r>
        <w:t>-Nachricht</w:t>
      </w:r>
      <w:r w:rsidRPr="007B799C">
        <w:t xml:space="preserve"> an den Marktgebietsverantwortlichen. </w:t>
      </w:r>
      <w:r>
        <w:t xml:space="preserve">Die </w:t>
      </w:r>
      <w:r w:rsidR="002658B9">
        <w:t>vom Netzbetreiber an den Marktgebietsveran</w:t>
      </w:r>
      <w:r w:rsidR="002658B9">
        <w:t>t</w:t>
      </w:r>
      <w:r w:rsidR="002658B9">
        <w:t xml:space="preserve">wortlichen versandte </w:t>
      </w:r>
      <w:r>
        <w:t>CLEARING-ALOCAT-Nachricht wird nach Zugang beim Mark</w:t>
      </w:r>
      <w:r>
        <w:t>t</w:t>
      </w:r>
      <w:r>
        <w:t xml:space="preserve">gebietsverantwortlichen von diesem an den Bilanzkreisverantwortlichen übersendet. </w:t>
      </w:r>
      <w:r w:rsidRPr="007B799C">
        <w:t xml:space="preserve">Der Marktgebietsverantwortliche </w:t>
      </w:r>
      <w:r>
        <w:t>verwendet diese CLEARING-ALOCAT-Nachricht als Grundlage</w:t>
      </w:r>
      <w:r w:rsidRPr="007B799C">
        <w:t xml:space="preserve"> für die Bilanzkreisabrechnung. </w:t>
      </w:r>
    </w:p>
    <w:p w:rsidR="00BE159F" w:rsidRDefault="00BE159F" w:rsidP="00BE159F">
      <w:pPr>
        <w:numPr>
          <w:ilvl w:val="0"/>
          <w:numId w:val="55"/>
        </w:numPr>
      </w:pPr>
      <w:r w:rsidRPr="007B799C">
        <w:t xml:space="preserve">Sofern der Netzbetreiber feststellt, dass die originäre SLP-Allokation in Ordnung war, meldet er dies unverzüglich dem Bilanzkreisverantwortlichen. Der Netzbetreiber weist dem Bilanzkreisverantwortlichen die Richtigkeit der Allokation nach. </w:t>
      </w:r>
      <w:r w:rsidR="002658B9">
        <w:t xml:space="preserve">Für den Fall, dass der Netzbetreiber die Richtigkeit der Allokation nicht nachweisen kann, ist der Vortageswert oder ein mit dem </w:t>
      </w:r>
      <w:r w:rsidR="00667F23">
        <w:t>Bilanzkreisverantwortlichen</w:t>
      </w:r>
      <w:r w:rsidR="002658B9">
        <w:t xml:space="preserve"> abgestimmter Wert im Rahmen des </w:t>
      </w:r>
      <w:r w:rsidR="002658B9" w:rsidRPr="00FB008D">
        <w:t>SLP-Allokationsclearingprozess</w:t>
      </w:r>
      <w:r w:rsidR="002658B9">
        <w:t>es</w:t>
      </w:r>
      <w:r w:rsidR="002658B9" w:rsidRPr="00FB008D">
        <w:t xml:space="preserve"> </w:t>
      </w:r>
      <w:r w:rsidR="002658B9">
        <w:t xml:space="preserve">zu allokieren. </w:t>
      </w:r>
      <w:r w:rsidRPr="007B799C">
        <w:t xml:space="preserve">Der </w:t>
      </w:r>
      <w:r w:rsidRPr="003F7C7B">
        <w:t>Bilanzkreisv</w:t>
      </w:r>
      <w:r w:rsidRPr="003F7C7B">
        <w:t>e</w:t>
      </w:r>
      <w:r w:rsidRPr="003F7C7B">
        <w:t>rantwortliche trägt somit das Risiko</w:t>
      </w:r>
      <w:r w:rsidR="00C04F74">
        <w:t xml:space="preserve"> für die Bilanzkreisabweichung.</w:t>
      </w:r>
    </w:p>
    <w:p w:rsidR="00BE159F" w:rsidRDefault="00BE159F" w:rsidP="00BE159F">
      <w:pPr>
        <w:numPr>
          <w:ilvl w:val="0"/>
          <w:numId w:val="55"/>
        </w:numPr>
      </w:pPr>
      <w:r w:rsidRPr="003F7C7B">
        <w:t xml:space="preserve">Im Übrigen </w:t>
      </w:r>
      <w:r w:rsidRPr="00FC30A1">
        <w:t>findet lit. f)</w:t>
      </w:r>
      <w:r w:rsidRPr="003F7C7B">
        <w:t xml:space="preserve"> entsprechende Anwendung auf SLP-</w:t>
      </w:r>
      <w:r>
        <w:t>Ausspeisepunkte</w:t>
      </w:r>
      <w:r w:rsidRPr="003F7C7B">
        <w:t>.</w:t>
      </w:r>
    </w:p>
    <w:p w:rsidR="00BE159F" w:rsidRDefault="00BE159F" w:rsidP="00BE159F">
      <w:pPr>
        <w:numPr>
          <w:ilvl w:val="0"/>
          <w:numId w:val="55"/>
        </w:numPr>
      </w:pPr>
      <w:r w:rsidRPr="00966E40">
        <w:t>Der Marktgebietsverantwortliche führt auf einem dem Bilanzkreisverantwortlichen zugänglichen Portal eine tagesaktuelle Gesamtübersicht aller Allokationsnachrichten  je Bilanzkreis mit allen zugehörigen Sub-Bilanzkonten und Zeitreihentypen. Die E</w:t>
      </w:r>
      <w:r w:rsidRPr="00966E40">
        <w:t>r</w:t>
      </w:r>
      <w:r w:rsidRPr="00966E40">
        <w:t>gebnisse von Clearingprozessen sind dabei zu berücksichtigen. Die Gesamtübe</w:t>
      </w:r>
      <w:r w:rsidRPr="00966E40">
        <w:t>r</w:t>
      </w:r>
      <w:r w:rsidRPr="00966E40">
        <w:t xml:space="preserve">sicht repräsentiert nach dem Clearingprozess den Stand der Bilanzkreisabrechnung. </w:t>
      </w:r>
    </w:p>
    <w:p w:rsidR="00BE159F" w:rsidRDefault="00BE159F" w:rsidP="00BE159F">
      <w:pPr>
        <w:pStyle w:val="GL2OhneZiffer"/>
      </w:pPr>
      <w:r w:rsidRPr="003F7C7B" w:rsidDel="007C532C">
        <w:t>Für den Fall, dass der Bilanzkreis/Sub-Bilanzkonto zuvor noch nicht deklariert wurde, erfolgt dies bis spätestens 2 Werktage vor Versand der Clearingallokation</w:t>
      </w:r>
      <w:r>
        <w:t xml:space="preserve"> unter Beac</w:t>
      </w:r>
      <w:r>
        <w:t>h</w:t>
      </w:r>
      <w:r>
        <w:t xml:space="preserve">tung </w:t>
      </w:r>
      <w:r w:rsidRPr="00E165A4">
        <w:t xml:space="preserve">von § </w:t>
      </w:r>
      <w:r w:rsidR="002658B9">
        <w:t>11</w:t>
      </w:r>
      <w:r w:rsidRPr="00E165A4">
        <w:t xml:space="preserve"> Ziffer 7.</w:t>
      </w:r>
      <w:r>
        <w:t xml:space="preserve"> </w:t>
      </w:r>
    </w:p>
    <w:p w:rsidR="00BE159F" w:rsidRDefault="00BE159F" w:rsidP="00BE159F">
      <w:pPr>
        <w:pStyle w:val="GL2OhneZiffer"/>
      </w:pPr>
      <w:r w:rsidRPr="003F7C7B">
        <w:t>Der Teilnahme am Clearingprozess</w:t>
      </w:r>
      <w:r>
        <w:t xml:space="preserve"> kann nur in begründeten Fällen widersprochen werden.</w:t>
      </w:r>
    </w:p>
    <w:p w:rsidR="00BE159F" w:rsidRDefault="00BE159F" w:rsidP="00043A78">
      <w:pPr>
        <w:numPr>
          <w:ilvl w:val="0"/>
          <w:numId w:val="101"/>
        </w:numPr>
      </w:pPr>
      <w:r w:rsidRPr="00696E07">
        <w:t>Bei Allokati</w:t>
      </w:r>
      <w:r>
        <w:t>onsfehlern eines Netzbetreibers</w:t>
      </w:r>
      <w:r w:rsidRPr="00696E07">
        <w:t xml:space="preserve"> </w:t>
      </w:r>
      <w:r>
        <w:t>erfolgt</w:t>
      </w:r>
      <w:r w:rsidRPr="00696E07">
        <w:t xml:space="preserve"> </w:t>
      </w:r>
      <w:r>
        <w:t xml:space="preserve">bei </w:t>
      </w:r>
      <w:r w:rsidRPr="00696E07">
        <w:t>systematische</w:t>
      </w:r>
      <w:r>
        <w:t>n</w:t>
      </w:r>
      <w:r w:rsidRPr="00696E07">
        <w:t xml:space="preserve"> Fehler</w:t>
      </w:r>
      <w:r>
        <w:t>n</w:t>
      </w:r>
      <w:r w:rsidRPr="00696E07">
        <w:t xml:space="preserve"> in tec</w:t>
      </w:r>
      <w:r w:rsidRPr="00696E07">
        <w:t>h</w:t>
      </w:r>
      <w:r w:rsidRPr="00696E07">
        <w:t xml:space="preserve">nischen Einrichtungen zur Messung abweichend von der Frist gemäß Ziffer </w:t>
      </w:r>
      <w:r w:rsidR="007E3941">
        <w:t>1</w:t>
      </w:r>
      <w:r w:rsidRPr="00696E07">
        <w:t xml:space="preserve"> nach A</w:t>
      </w:r>
      <w:r w:rsidRPr="00696E07">
        <w:t>b</w:t>
      </w:r>
      <w:r w:rsidRPr="00696E07">
        <w:t xml:space="preserve">lauf des Zeitpunkts M+2 Monate </w:t>
      </w:r>
      <w:r w:rsidR="00F73500">
        <w:t>-</w:t>
      </w:r>
      <w:r w:rsidRPr="00696E07">
        <w:t xml:space="preserve"> 10 Werktage eine nachträgliche Korrektur für RLM-Ausspeispunkte </w:t>
      </w:r>
      <w:r>
        <w:t>ausschließlich im Hinblick auf die Differenzmengenabrechnung, die A</w:t>
      </w:r>
      <w:r>
        <w:t>b</w:t>
      </w:r>
      <w:r>
        <w:t xml:space="preserve">rechnung der Bilanzierungsumlage und des Konvertierungsentgelts. Hierzu informiert </w:t>
      </w:r>
      <w:r w:rsidRPr="00696E07">
        <w:t xml:space="preserve">der Netzbetreiber unverzüglich nach Bekanntwerden </w:t>
      </w:r>
      <w:r>
        <w:t xml:space="preserve">den </w:t>
      </w:r>
      <w:r w:rsidRPr="00CA08B4">
        <w:t>Marktgebietsverantwortlichen</w:t>
      </w:r>
      <w:r>
        <w:t>.</w:t>
      </w:r>
      <w:r w:rsidRPr="00F06EAD">
        <w:t xml:space="preserve"> </w:t>
      </w:r>
    </w:p>
    <w:p w:rsidR="00BE159F" w:rsidRPr="00696E07" w:rsidRDefault="00BE159F" w:rsidP="00BE159F">
      <w:pPr>
        <w:pStyle w:val="GL2OhneZiffer"/>
      </w:pPr>
      <w:r>
        <w:t xml:space="preserve">Der </w:t>
      </w:r>
      <w:r w:rsidRPr="00F06EAD">
        <w:t>Marktgebietsverantwortliche informiert unverzüglich den Bilanzkreisverantwortl</w:t>
      </w:r>
      <w:r w:rsidRPr="00F06EAD">
        <w:t>i</w:t>
      </w:r>
      <w:r w:rsidRPr="00F06EAD">
        <w:t>chen hierüber.</w:t>
      </w:r>
    </w:p>
    <w:p w:rsidR="00BE159F" w:rsidRPr="00422885" w:rsidRDefault="00BE159F" w:rsidP="00043A78">
      <w:pPr>
        <w:numPr>
          <w:ilvl w:val="0"/>
          <w:numId w:val="101"/>
        </w:numPr>
      </w:pPr>
      <w:r>
        <w:t xml:space="preserve">Voraussetzung für eine nachträgliche Korrektur nach Ziffer </w:t>
      </w:r>
      <w:r w:rsidR="00C04F74">
        <w:t>2</w:t>
      </w:r>
      <w:r>
        <w:t xml:space="preserve"> ist die Bereitstellung einer nachvollziehbaren Dokumentation unter Beachtung der relevanten Vorgaben der tec</w:t>
      </w:r>
      <w:r>
        <w:t>h</w:t>
      </w:r>
      <w:r>
        <w:t>nischen Regel DVGW G 685-B2 (A) durch den Netzbetreiber gegenüber dem Marktg</w:t>
      </w:r>
      <w:r>
        <w:t>e</w:t>
      </w:r>
      <w:r>
        <w:t>bietsverantwortlichen. Relevante Messwerte aus Zählwerk und Registriergerät müssen bei der Überprüfung der Messstelle in einem Protokoll festgehalten werden. Die Dok</w:t>
      </w:r>
      <w:r>
        <w:t>u</w:t>
      </w:r>
      <w:r>
        <w:t>mentation sollte einen Prüfbericht über die Instandsetzung durch den Gerätehersteller  sowie muss den Prüfbericht des Eichamtes oder einer staatlich anerkannten Prüfstelle für Messgeräte für Gas über die Nacheichung enthalten.</w:t>
      </w:r>
      <w:r>
        <w:rPr>
          <w:rStyle w:val="Kommentarzeichen"/>
        </w:rPr>
        <w:t xml:space="preserve"> </w:t>
      </w:r>
      <w:r>
        <w:t>Der Marktgebietsverantwortl</w:t>
      </w:r>
      <w:r>
        <w:t>i</w:t>
      </w:r>
      <w:r>
        <w:t>che leitet die Dokumentation an den Bilanzkreisverantwortlichen weiter.</w:t>
      </w:r>
      <w:r w:rsidRPr="00CE4C3B">
        <w:t xml:space="preserve"> </w:t>
      </w:r>
      <w:r>
        <w:t>Innerhalb von 10 Werktagen nach Übermittlung der Dokumentation übermittelt der Marktgebietsv</w:t>
      </w:r>
      <w:r>
        <w:t>e</w:t>
      </w:r>
      <w:r>
        <w:t>rantwortliche an den Netzbetreiber eine Netzbetreiber-Clearingnummer für den Vo</w:t>
      </w:r>
      <w:r>
        <w:t>r</w:t>
      </w:r>
      <w:r>
        <w:t>gang. Anschließend übermittelt der Netzbetreiber dem Marktgebietsverantwortlichen die CLEARING-</w:t>
      </w:r>
      <w:r w:rsidRPr="00307DD4">
        <w:t>ALOCAT</w:t>
      </w:r>
      <w:r>
        <w:t xml:space="preserve">-Nachrichten mit der Netzbetreiber-Clearingnummer innerhalb von 5 Werktagen. </w:t>
      </w:r>
      <w:r w:rsidR="005D24EB">
        <w:t>Nach Erhalt der CLEARING-ALOCAT-Nachrichten vom Netzbetreiber (spätestens 15 Werktage nach Übermittlung der Dokumentation) zieht d</w:t>
      </w:r>
      <w:r>
        <w:t>er Marktg</w:t>
      </w:r>
      <w:r>
        <w:t>e</w:t>
      </w:r>
      <w:r>
        <w:t>bietsverantwortliche zieht für die Bilanzierung der CLEARING-</w:t>
      </w:r>
      <w:r w:rsidRPr="00307DD4">
        <w:t>ALOCAT</w:t>
      </w:r>
      <w:r>
        <w:t>-Nachricht</w:t>
      </w:r>
      <w:r w:rsidR="005D24EB">
        <w:t>en</w:t>
      </w:r>
      <w:r>
        <w:t xml:space="preserve"> mit Netzbetreiber-Clearingnummer nur die mit Abrechnungsbrennwert umgewertete Menge heran</w:t>
      </w:r>
      <w:r w:rsidR="005D24EB">
        <w:t xml:space="preserve"> und sendet die entsprechende CLEARING-ALOCAT mit der geclearten RLM-Zeitreihe umgewertet mit dem Abrechnungsbrennwert an den Bilanzkreisverantwortl</w:t>
      </w:r>
      <w:r w:rsidR="005D24EB">
        <w:t>i</w:t>
      </w:r>
      <w:r w:rsidR="005D24EB">
        <w:t>chen</w:t>
      </w:r>
      <w:r>
        <w:t>. Die Differenzmengen zwischen der</w:t>
      </w:r>
      <w:r>
        <w:rPr>
          <w:color w:val="000000"/>
        </w:rPr>
        <w:t xml:space="preserve"> </w:t>
      </w:r>
      <w:r>
        <w:t>mit dem Bilanzierungsbrennwert umgewert</w:t>
      </w:r>
      <w:r>
        <w:t>e</w:t>
      </w:r>
      <w:r>
        <w:t>ten RLM-Zeitreihe und der mit dem Abrechnungsbrennwert umgewerteten RLM-Zeitreihe wird mit dem täglichen an der relevanten Handelsplattform gebildeten me</w:t>
      </w:r>
      <w:r>
        <w:t>n</w:t>
      </w:r>
      <w:r>
        <w:t>gengewichteten Gasdurchschnittspreis mit dem Lieferort virtueller Handelspunkt (unter Einbeziehung von Day-Ahead und Within-Day Produkten) abgerechnet</w:t>
      </w:r>
      <w:r>
        <w:rPr>
          <w:color w:val="000000"/>
        </w:rPr>
        <w:t>.</w:t>
      </w:r>
      <w:r w:rsidR="005D24EB">
        <w:rPr>
          <w:color w:val="000000"/>
        </w:rPr>
        <w:t xml:space="preserve"> Die Abrec</w:t>
      </w:r>
      <w:r w:rsidR="005D24EB">
        <w:rPr>
          <w:color w:val="000000"/>
        </w:rPr>
        <w:t>h</w:t>
      </w:r>
      <w:r w:rsidR="005D24EB">
        <w:rPr>
          <w:color w:val="000000"/>
        </w:rPr>
        <w:t xml:space="preserve">nung </w:t>
      </w:r>
      <w:r w:rsidR="005D24EB" w:rsidRPr="0030259B">
        <w:rPr>
          <w:color w:val="000000"/>
        </w:rPr>
        <w:t>der Bilanzierungsumlage und des Konvertierungsentgelts</w:t>
      </w:r>
      <w:r w:rsidR="005D24EB">
        <w:rPr>
          <w:color w:val="000000"/>
        </w:rPr>
        <w:t xml:space="preserve"> bzw. der Konverti</w:t>
      </w:r>
      <w:r w:rsidR="005D24EB">
        <w:rPr>
          <w:color w:val="000000"/>
        </w:rPr>
        <w:t>e</w:t>
      </w:r>
      <w:r w:rsidR="005D24EB">
        <w:rPr>
          <w:color w:val="000000"/>
        </w:rPr>
        <w:t>rungsumlage werden zu den für den Lieferzeitraum gültigen Entgelten abgerechnet.</w:t>
      </w:r>
    </w:p>
    <w:p w:rsidR="00BE159F" w:rsidRPr="00E16944" w:rsidRDefault="00BE159F" w:rsidP="00043A78">
      <w:pPr>
        <w:numPr>
          <w:ilvl w:val="0"/>
          <w:numId w:val="101"/>
        </w:numPr>
      </w:pPr>
      <w:r w:rsidRPr="00E16944">
        <w:t xml:space="preserve">Sollte die Anpassung der Daten gemäß </w:t>
      </w:r>
      <w:r w:rsidRPr="00422885">
        <w:t>Ziffer</w:t>
      </w:r>
      <w:r>
        <w:t>n</w:t>
      </w:r>
      <w:r w:rsidRPr="00422885">
        <w:t xml:space="preserve"> </w:t>
      </w:r>
      <w:r w:rsidR="005D24EB">
        <w:t>2</w:t>
      </w:r>
      <w:r w:rsidRPr="00422885">
        <w:t xml:space="preserve"> und </w:t>
      </w:r>
      <w:r w:rsidR="005D24EB">
        <w:t>3</w:t>
      </w:r>
      <w:r w:rsidRPr="00E16944">
        <w:t xml:space="preserve"> später als 3 Monate nach Ende der Umlageperiode</w:t>
      </w:r>
      <w:r>
        <w:t>, in der die ursprünglichen Allokationsdaten gemeldet wurden,</w:t>
      </w:r>
      <w:r w:rsidRPr="00E16944">
        <w:t xml:space="preserve"> stat</w:t>
      </w:r>
      <w:r w:rsidRPr="00E16944">
        <w:t>t</w:t>
      </w:r>
      <w:r w:rsidRPr="00E16944">
        <w:t xml:space="preserve">finden, haben diese veränderten Daten keinen Einfluss auf die </w:t>
      </w:r>
      <w:r>
        <w:t>der Berechnung der Ausschüttung</w:t>
      </w:r>
      <w:r w:rsidRPr="00E16944">
        <w:t xml:space="preserve"> und Verrechnung nach § </w:t>
      </w:r>
      <w:r w:rsidR="005D24EB">
        <w:t>16</w:t>
      </w:r>
      <w:r w:rsidRPr="00E16944">
        <w:t xml:space="preserve"> </w:t>
      </w:r>
      <w:r>
        <w:t>Ziffer</w:t>
      </w:r>
      <w:r w:rsidRPr="00E16944">
        <w:t xml:space="preserve"> 6 zugrunde zu legenden Daten.</w:t>
      </w:r>
      <w:r>
        <w:t xml:space="preserve"> Der sich aus der Korrektur ergebene Korrekturbetrag wird in der Umlageperiode, in der die Anpassung der Daten erfolgt, berücksichtigt.</w:t>
      </w:r>
    </w:p>
    <w:p w:rsidR="00BE159F" w:rsidRDefault="00BE159F" w:rsidP="00043A78">
      <w:pPr>
        <w:numPr>
          <w:ilvl w:val="0"/>
          <w:numId w:val="101"/>
        </w:numPr>
      </w:pPr>
      <w:r w:rsidRPr="008118DD">
        <w:t>Der Marktgebietsverantwortliche teilt dem Bilanzkreisverantwortlichen an M+1</w:t>
      </w:r>
      <w:r>
        <w:t>5</w:t>
      </w:r>
      <w:r w:rsidRPr="008118DD">
        <w:t xml:space="preserve"> Wer</w:t>
      </w:r>
      <w:r w:rsidRPr="008118DD">
        <w:t>k</w:t>
      </w:r>
      <w:r w:rsidRPr="008118DD">
        <w:t>tage ohne Gewähr den vorläufigen Rechnungsbetrag</w:t>
      </w:r>
      <w:r>
        <w:t xml:space="preserve"> im Portal </w:t>
      </w:r>
      <w:r w:rsidRPr="008118DD">
        <w:t>mit.</w:t>
      </w:r>
      <w:r>
        <w:t xml:space="preserve"> D</w:t>
      </w:r>
      <w:r w:rsidRPr="00A4764D">
        <w:t>as Risiko für die Bilanzkreisabweichung</w:t>
      </w:r>
      <w:r>
        <w:t xml:space="preserve"> verbleibt beim Bilanzkreisverantwortlichen</w:t>
      </w:r>
      <w:r w:rsidRPr="00A4764D">
        <w:t>.</w:t>
      </w:r>
    </w:p>
    <w:p w:rsidR="00484E62" w:rsidRPr="00E9716F" w:rsidRDefault="00484E62" w:rsidP="00484E62">
      <w:pPr>
        <w:pStyle w:val="berschrift1"/>
      </w:pPr>
      <w:bookmarkStart w:id="31" w:name="_Toc297207925"/>
      <w:bookmarkStart w:id="32" w:name="_Toc476824417"/>
      <w:r>
        <w:t xml:space="preserve">§ 14 </w:t>
      </w:r>
      <w:r w:rsidRPr="00E9716F">
        <w:t xml:space="preserve">Ermittlung, Ausgleich und Abrechnung von </w:t>
      </w:r>
      <w:r>
        <w:t>Ausgleichsenergiemengen</w:t>
      </w:r>
      <w:bookmarkEnd w:id="31"/>
      <w:bookmarkEnd w:id="32"/>
    </w:p>
    <w:p w:rsidR="00484E62" w:rsidRDefault="00484E62" w:rsidP="00484E62">
      <w:pPr>
        <w:numPr>
          <w:ilvl w:val="0"/>
          <w:numId w:val="30"/>
        </w:numPr>
      </w:pPr>
      <w:r w:rsidRPr="00E9716F">
        <w:t xml:space="preserve">Zur Bestimmung der täglichen </w:t>
      </w:r>
      <w:r>
        <w:t>Ausgleichsenergie</w:t>
      </w:r>
      <w:r w:rsidRPr="00E9716F">
        <w:t>mengen pro Bilanzkreis</w:t>
      </w:r>
      <w:r>
        <w:t xml:space="preserve"> </w:t>
      </w:r>
      <w:r w:rsidRPr="00E9716F">
        <w:t xml:space="preserve">werden die täglichen </w:t>
      </w:r>
      <w:r w:rsidRPr="00307BDC">
        <w:t xml:space="preserve">Einspeisemengen und die täglichen Ausspeisemengen </w:t>
      </w:r>
      <w:r w:rsidRPr="00E9716F">
        <w:t>fortlaufend pro Bilan</w:t>
      </w:r>
      <w:r w:rsidRPr="00E9716F">
        <w:t>z</w:t>
      </w:r>
      <w:r w:rsidRPr="00E9716F">
        <w:t xml:space="preserve">kreis saldiert, soweit sie dem Bilanzkreis zugeordnet wurden. </w:t>
      </w:r>
      <w:r>
        <w:t xml:space="preserve">Die Brennwertkorrektur ist hierbei nicht einzubeziehen. Der Saldo </w:t>
      </w:r>
      <w:r w:rsidRPr="00487742">
        <w:t>der während der Bilanzierungsperiode ein- und ausgespeisten bilanzrelevanten Mengen wird durch den Marktgebietsverantwortlichen am Ende der Bilanzierungsperiode als tägliche Ausgleichsenergiemenge abgerechnet.</w:t>
      </w:r>
      <w:r>
        <w:t xml:space="preserve"> </w:t>
      </w:r>
      <w:r w:rsidRPr="00E9716F">
        <w:t xml:space="preserve">Ein Abtausch </w:t>
      </w:r>
      <w:r w:rsidR="00A544C2">
        <w:t xml:space="preserve">der Salden </w:t>
      </w:r>
      <w:r w:rsidRPr="00E9716F">
        <w:t xml:space="preserve">zwischen Bilanzkreisen nach Ende der </w:t>
      </w:r>
      <w:r>
        <w:t>Bilanzierungsperiode („ex post-</w:t>
      </w:r>
      <w:r w:rsidRPr="00E9716F">
        <w:t>balancing“) ist nicht zulässig</w:t>
      </w:r>
      <w:r>
        <w:t>.</w:t>
      </w:r>
    </w:p>
    <w:p w:rsidR="00484E62" w:rsidRDefault="00484E62" w:rsidP="00484E62">
      <w:pPr>
        <w:pStyle w:val="Listenabsatz"/>
        <w:numPr>
          <w:ilvl w:val="0"/>
          <w:numId w:val="30"/>
        </w:numPr>
      </w:pPr>
      <w:r>
        <w:t>Der Marktgebietsverantwortliche saldiert die durch den Ein- bzw. Ausspeisenetzbetre</w:t>
      </w:r>
      <w:r>
        <w:t>i</w:t>
      </w:r>
      <w:r>
        <w:t>ber ermittelten und vorläufig zugeordneten Mengen mit den dem Bilanzkreis bzw. Sub-Bilanzkonto vorläufig zugeordneten Einspeisemengen und teilt dem Bilanzkreisveran</w:t>
      </w:r>
      <w:r>
        <w:t>t</w:t>
      </w:r>
      <w:r>
        <w:t xml:space="preserve">wortlichen den Saldo gemäß den Fristen in § </w:t>
      </w:r>
      <w:r w:rsidR="00A544C2">
        <w:t>12</w:t>
      </w:r>
      <w:r>
        <w:t xml:space="preserve"> Ziffer </w:t>
      </w:r>
      <w:r w:rsidR="00A544C2">
        <w:t>6</w:t>
      </w:r>
      <w:r>
        <w:t xml:space="preserve"> mit. Entsprechendes gilt für die endgültig zugeordneten Mengen</w:t>
      </w:r>
      <w:r w:rsidRPr="00250DEC">
        <w:t>. Die endgültig zugeordneten Mengen beinhalten die Bereinigung fehlender oder fehlerhafter Messwerte</w:t>
      </w:r>
      <w:r>
        <w:t>, umgewertet mit dem Bilanzi</w:t>
      </w:r>
      <w:r>
        <w:t>e</w:t>
      </w:r>
      <w:r>
        <w:t>rungsbrennwert</w:t>
      </w:r>
      <w:r w:rsidRPr="00250DEC">
        <w:t>. Toleranzen werden nicht gewährt</w:t>
      </w:r>
      <w:r>
        <w:t>.</w:t>
      </w:r>
    </w:p>
    <w:p w:rsidR="00484E62" w:rsidRDefault="00484E62" w:rsidP="00A544C2">
      <w:pPr>
        <w:numPr>
          <w:ilvl w:val="0"/>
          <w:numId w:val="30"/>
        </w:numPr>
      </w:pPr>
      <w:r w:rsidRPr="00487742">
        <w:t>Die täglichen Ausgleichsenergiemengen werden zwischen Marktgebietsverantwortl</w:t>
      </w:r>
      <w:r w:rsidRPr="00487742">
        <w:t>i</w:t>
      </w:r>
      <w:r w:rsidRPr="00487742">
        <w:t>chen und Bilanzkreisverantwortlichen monatlich im Zuge der Bilanzkreisabrechnung abgerechnet:</w:t>
      </w:r>
    </w:p>
    <w:p w:rsidR="00484E62" w:rsidRDefault="00484E62" w:rsidP="00484E62">
      <w:pPr>
        <w:pStyle w:val="Listenabsatz"/>
        <w:numPr>
          <w:ilvl w:val="0"/>
          <w:numId w:val="91"/>
        </w:numPr>
        <w:ind w:left="851" w:hanging="284"/>
      </w:pPr>
      <w:r w:rsidRPr="00E9716F">
        <w:t xml:space="preserve">Der </w:t>
      </w:r>
      <w:r>
        <w:t>Marktgebietsverantwortliche</w:t>
      </w:r>
      <w:r w:rsidRPr="00E9716F">
        <w:t xml:space="preserve"> hat an den Bilanzkreisverantwortlichen ein Entgelt  zu zahlen, soweit die </w:t>
      </w:r>
      <w:r>
        <w:t xml:space="preserve">bilanzrelevanten </w:t>
      </w:r>
      <w:r w:rsidRPr="00E9716F">
        <w:t xml:space="preserve">Einspeisemengen die </w:t>
      </w:r>
      <w:r>
        <w:t xml:space="preserve">bilanzrelevanten </w:t>
      </w:r>
      <w:r w:rsidRPr="00E9716F">
        <w:t>Au</w:t>
      </w:r>
      <w:r w:rsidRPr="00E9716F">
        <w:t>s</w:t>
      </w:r>
      <w:r w:rsidRPr="00E9716F">
        <w:t xml:space="preserve">speisemengen </w:t>
      </w:r>
      <w:r>
        <w:t xml:space="preserve">am Gastag </w:t>
      </w:r>
      <w:r w:rsidRPr="00E9716F">
        <w:t>überschreiten (nachfolgend „negative Ausgleichsene</w:t>
      </w:r>
      <w:r w:rsidRPr="00E9716F">
        <w:t>r</w:t>
      </w:r>
      <w:r w:rsidRPr="00E9716F">
        <w:t xml:space="preserve">gie“). Der </w:t>
      </w:r>
      <w:r>
        <w:t xml:space="preserve">negative Ausgleichsenergiepreis wird gemäß Ziffer 4 bestimmt. </w:t>
      </w:r>
    </w:p>
    <w:p w:rsidR="00484E62" w:rsidRDefault="00484E62" w:rsidP="00484E62">
      <w:pPr>
        <w:pStyle w:val="Listenabsatz"/>
        <w:numPr>
          <w:ilvl w:val="0"/>
          <w:numId w:val="91"/>
        </w:numPr>
        <w:ind w:left="851" w:hanging="284"/>
      </w:pPr>
      <w:r>
        <w:t xml:space="preserve">Der </w:t>
      </w:r>
      <w:r w:rsidRPr="00E9716F">
        <w:t xml:space="preserve">Bilanzkreisverantwortliche hat an </w:t>
      </w:r>
      <w:r>
        <w:t>den Marktgebietsverantwortlichen</w:t>
      </w:r>
      <w:r w:rsidRPr="00E9716F">
        <w:t xml:space="preserve"> ein Entgeltzu zahlen, </w:t>
      </w:r>
      <w:r w:rsidRPr="003F7C7B">
        <w:t xml:space="preserve">soweit die </w:t>
      </w:r>
      <w:r>
        <w:t xml:space="preserve">bilanzrelevanten </w:t>
      </w:r>
      <w:r w:rsidRPr="003F7C7B">
        <w:t xml:space="preserve">Ausspeisemengen die </w:t>
      </w:r>
      <w:r>
        <w:t>bilanzreleva</w:t>
      </w:r>
      <w:r>
        <w:t>n</w:t>
      </w:r>
      <w:r>
        <w:t xml:space="preserve">ten </w:t>
      </w:r>
      <w:r w:rsidRPr="003F7C7B">
        <w:t xml:space="preserve">Einspeisemengen </w:t>
      </w:r>
      <w:r>
        <w:t xml:space="preserve">am Gastag </w:t>
      </w:r>
      <w:r w:rsidRPr="003F7C7B">
        <w:t>überschreiten (nachfolgend „positive Ausgleich</w:t>
      </w:r>
      <w:r w:rsidRPr="003F7C7B">
        <w:t>s</w:t>
      </w:r>
      <w:r w:rsidRPr="003F7C7B">
        <w:t xml:space="preserve">energie“). </w:t>
      </w:r>
      <w:r>
        <w:t xml:space="preserve">Der positive Ausgleichsenergiepreis </w:t>
      </w:r>
      <w:r w:rsidRPr="003F7C7B">
        <w:t>w</w:t>
      </w:r>
      <w:r>
        <w:t>i</w:t>
      </w:r>
      <w:r w:rsidRPr="003F7C7B">
        <w:t>rd gemäß Ziffer </w:t>
      </w:r>
      <w:r>
        <w:t>4</w:t>
      </w:r>
      <w:r w:rsidRPr="003F7C7B">
        <w:t xml:space="preserve"> bestimmt. </w:t>
      </w:r>
    </w:p>
    <w:p w:rsidR="00484E62" w:rsidRPr="00A741AE" w:rsidRDefault="00484E62" w:rsidP="00A544C2">
      <w:pPr>
        <w:pStyle w:val="Listenabsatz"/>
        <w:numPr>
          <w:ilvl w:val="0"/>
          <w:numId w:val="30"/>
        </w:numPr>
        <w:spacing w:line="300" w:lineRule="exact"/>
        <w:rPr>
          <w:szCs w:val="22"/>
        </w:rPr>
      </w:pPr>
      <w:r w:rsidRPr="00444804">
        <w:rPr>
          <w:szCs w:val="22"/>
        </w:rPr>
        <w:t>Der Ausgleichsenergiepreis wird wie folgt ermittelt:</w:t>
      </w:r>
    </w:p>
    <w:p w:rsidR="00484E62" w:rsidRPr="00835997" w:rsidRDefault="00484E62" w:rsidP="00484E62">
      <w:pPr>
        <w:pStyle w:val="Listenabsatz"/>
        <w:numPr>
          <w:ilvl w:val="0"/>
          <w:numId w:val="95"/>
        </w:numPr>
        <w:ind w:left="851" w:hanging="284"/>
        <w:rPr>
          <w:szCs w:val="22"/>
        </w:rPr>
      </w:pPr>
      <w:r w:rsidRPr="00835997">
        <w:rPr>
          <w:szCs w:val="22"/>
        </w:rPr>
        <w:t xml:space="preserve">Der tägliche positive Ausgleichsenergiepreis (=Grenzankaufspreis) ist der höhere der beiden </w:t>
      </w:r>
      <w:r w:rsidRPr="000441E5">
        <w:t>folgenden</w:t>
      </w:r>
      <w:r w:rsidRPr="00835997">
        <w:rPr>
          <w:szCs w:val="22"/>
        </w:rPr>
        <w:t xml:space="preserve"> Preise:</w:t>
      </w:r>
    </w:p>
    <w:p w:rsidR="00484E62" w:rsidRPr="001B7BB7" w:rsidRDefault="00484E62" w:rsidP="00484E62">
      <w:pPr>
        <w:pStyle w:val="Listenabsatz"/>
        <w:numPr>
          <w:ilvl w:val="3"/>
          <w:numId w:val="90"/>
        </w:numPr>
        <w:spacing w:after="200" w:line="276" w:lineRule="auto"/>
        <w:ind w:left="1276" w:hanging="425"/>
        <w:contextualSpacing/>
        <w:rPr>
          <w:szCs w:val="22"/>
        </w:rPr>
      </w:pPr>
      <w:r w:rsidRPr="001B7BB7">
        <w:rPr>
          <w:szCs w:val="22"/>
        </w:rPr>
        <w:t xml:space="preserve">Höchster Preis aller Regelenergieeinkäufe </w:t>
      </w:r>
      <w:r>
        <w:rPr>
          <w:szCs w:val="22"/>
        </w:rPr>
        <w:t xml:space="preserve">unter Einbeziehung </w:t>
      </w:r>
      <w:r w:rsidRPr="001B7BB7">
        <w:rPr>
          <w:szCs w:val="22"/>
        </w:rPr>
        <w:t xml:space="preserve">von </w:t>
      </w:r>
      <w:r>
        <w:rPr>
          <w:szCs w:val="22"/>
        </w:rPr>
        <w:t xml:space="preserve">Day-Ahead und </w:t>
      </w:r>
      <w:r w:rsidRPr="001B7BB7">
        <w:rPr>
          <w:szCs w:val="22"/>
        </w:rPr>
        <w:t xml:space="preserve">Within-Day </w:t>
      </w:r>
      <w:r>
        <w:rPr>
          <w:szCs w:val="22"/>
        </w:rPr>
        <w:t>P</w:t>
      </w:r>
      <w:r w:rsidRPr="001B7BB7">
        <w:rPr>
          <w:szCs w:val="22"/>
        </w:rPr>
        <w:t xml:space="preserve">rodukten, wobei bei den Day-Ahead </w:t>
      </w:r>
      <w:r>
        <w:rPr>
          <w:szCs w:val="22"/>
        </w:rPr>
        <w:t>P</w:t>
      </w:r>
      <w:r w:rsidRPr="001B7BB7">
        <w:rPr>
          <w:szCs w:val="22"/>
        </w:rPr>
        <w:t>rodukten der Erfüllung</w:t>
      </w:r>
      <w:r w:rsidRPr="001B7BB7">
        <w:rPr>
          <w:szCs w:val="22"/>
        </w:rPr>
        <w:t>s</w:t>
      </w:r>
      <w:r w:rsidRPr="001B7BB7">
        <w:rPr>
          <w:szCs w:val="22"/>
        </w:rPr>
        <w:t>tag maßgeblich ist, mit dem Lieferort virtueller Handelspunkt, an denen der j</w:t>
      </w:r>
      <w:r w:rsidRPr="001B7BB7">
        <w:rPr>
          <w:szCs w:val="22"/>
        </w:rPr>
        <w:t>e</w:t>
      </w:r>
      <w:r w:rsidRPr="001B7BB7">
        <w:rPr>
          <w:szCs w:val="22"/>
        </w:rPr>
        <w:t xml:space="preserve">weilige Marktgebietsverantwortliche für den betrachteten Gastag beteiligt ist. Dies umfasst globale </w:t>
      </w:r>
      <w:r>
        <w:rPr>
          <w:szCs w:val="22"/>
        </w:rPr>
        <w:t>P</w:t>
      </w:r>
      <w:r w:rsidRPr="001B7BB7">
        <w:rPr>
          <w:szCs w:val="22"/>
        </w:rPr>
        <w:t xml:space="preserve">rodukte </w:t>
      </w:r>
      <w:r>
        <w:rPr>
          <w:szCs w:val="22"/>
        </w:rPr>
        <w:t>ohne Erfüllungsrestriktionen im eigenen Mark</w:t>
      </w:r>
      <w:r>
        <w:rPr>
          <w:szCs w:val="22"/>
        </w:rPr>
        <w:t>t</w:t>
      </w:r>
      <w:r>
        <w:rPr>
          <w:szCs w:val="22"/>
        </w:rPr>
        <w:t xml:space="preserve">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 xml:space="preserve">spezifische </w:t>
      </w:r>
      <w:r w:rsidRPr="001B7BB7">
        <w:rPr>
          <w:szCs w:val="22"/>
        </w:rPr>
        <w:t>Produkte</w:t>
      </w:r>
      <w:r>
        <w:rPr>
          <w:szCs w:val="22"/>
        </w:rPr>
        <w:t xml:space="preserve"> im eigenen oder angrenzenden Marktgebiet innerhalb der Merit Order Liste Rang 2 über die relevanten Handelsplattformen</w:t>
      </w:r>
      <w:r w:rsidRPr="001B7BB7">
        <w:rPr>
          <w:szCs w:val="22"/>
        </w:rPr>
        <w:t>.</w:t>
      </w:r>
      <w:r>
        <w:rPr>
          <w:szCs w:val="22"/>
        </w:rPr>
        <w:t xml:space="preserve"> Bei der Beschaffung von Pr</w:t>
      </w:r>
      <w:r>
        <w:rPr>
          <w:szCs w:val="22"/>
        </w:rPr>
        <w:t>o</w:t>
      </w:r>
      <w:r>
        <w:rPr>
          <w:szCs w:val="22"/>
        </w:rPr>
        <w:t>dukten der Merit Order</w:t>
      </w:r>
      <w:r w:rsidRPr="001B7BB7">
        <w:rPr>
          <w:szCs w:val="22"/>
        </w:rPr>
        <w:t xml:space="preserve"> </w:t>
      </w:r>
      <w:r>
        <w:rPr>
          <w:szCs w:val="22"/>
        </w:rPr>
        <w:t>Liste Rang 2 sind anfallende Transportkosten angeme</w:t>
      </w:r>
      <w:r>
        <w:rPr>
          <w:szCs w:val="22"/>
        </w:rPr>
        <w:t>s</w:t>
      </w:r>
      <w:r>
        <w:rPr>
          <w:szCs w:val="22"/>
        </w:rPr>
        <w:t>sen zu berücksichtigen.</w:t>
      </w:r>
    </w:p>
    <w:p w:rsidR="00484E62" w:rsidRDefault="00484E62" w:rsidP="00484E62">
      <w:pPr>
        <w:pStyle w:val="Listenabsatz"/>
        <w:numPr>
          <w:ilvl w:val="3"/>
          <w:numId w:val="90"/>
        </w:numPr>
        <w:spacing w:after="200" w:line="276" w:lineRule="auto"/>
        <w:ind w:left="1276" w:hanging="425"/>
        <w:contextualSpacing/>
      </w:pPr>
      <w:r w:rsidRPr="001B7BB7">
        <w:rPr>
          <w:szCs w:val="22"/>
        </w:rPr>
        <w:t>Mengengewichteter Gasdurchschnittspreis für den jeweiligen Gastag zuzüglich zwei Prozent. Zur Ermittlung des mengengewichteten Gasdurchschnittspreises ist der an der relevanten Handelsplattform gebildete mengengewichtete Ga</w:t>
      </w:r>
      <w:r w:rsidRPr="001B7BB7">
        <w:rPr>
          <w:szCs w:val="22"/>
        </w:rPr>
        <w:t>s</w:t>
      </w:r>
      <w:r w:rsidRPr="001B7BB7">
        <w:rPr>
          <w:szCs w:val="22"/>
        </w:rPr>
        <w:t>durchschnittspreis mit dem Lieferort virtueller Handelspunkt des jeweiligen Marktgebiets für den jeweiligen Gastag heranzuziehen. Hierbei werden Within-Day und Day-Ahead Produkte herangezogen, wobei bei Day-Ahead Produkten der Erfüllungstag maßgeblich ist.</w:t>
      </w:r>
    </w:p>
    <w:p w:rsidR="00484E62" w:rsidRDefault="00484E62" w:rsidP="00484E62">
      <w:pPr>
        <w:pStyle w:val="Listenabsatz"/>
        <w:numPr>
          <w:ilvl w:val="0"/>
          <w:numId w:val="95"/>
        </w:numPr>
        <w:ind w:left="851" w:hanging="284"/>
        <w:rPr>
          <w:szCs w:val="22"/>
        </w:rPr>
      </w:pPr>
      <w:r w:rsidRPr="00A741AE">
        <w:rPr>
          <w:szCs w:val="22"/>
        </w:rPr>
        <w:t>Der tägliche negative Ausgleichsenergiepreis (=Grenzverkaufspreis) ist der niedrig</w:t>
      </w:r>
      <w:r w:rsidRPr="00A741AE">
        <w:rPr>
          <w:szCs w:val="22"/>
        </w:rPr>
        <w:t>e</w:t>
      </w:r>
      <w:r w:rsidRPr="00A741AE">
        <w:rPr>
          <w:szCs w:val="22"/>
        </w:rPr>
        <w:t>re der beiden folgenden Preise:</w:t>
      </w:r>
    </w:p>
    <w:p w:rsidR="00484E62" w:rsidRPr="00A741AE" w:rsidRDefault="00484E62" w:rsidP="00484E62">
      <w:pPr>
        <w:pStyle w:val="Listenabsatz"/>
        <w:numPr>
          <w:ilvl w:val="3"/>
          <w:numId w:val="90"/>
        </w:numPr>
        <w:spacing w:after="200" w:line="276" w:lineRule="auto"/>
        <w:ind w:left="1276" w:hanging="425"/>
        <w:contextualSpacing/>
        <w:rPr>
          <w:szCs w:val="22"/>
        </w:rPr>
      </w:pPr>
      <w:r w:rsidRPr="00444804">
        <w:rPr>
          <w:szCs w:val="22"/>
        </w:rPr>
        <w:t xml:space="preserve">Niedrigster Preis aller Regelenergieverkäufe </w:t>
      </w:r>
      <w:r>
        <w:rPr>
          <w:szCs w:val="22"/>
        </w:rPr>
        <w:t xml:space="preserve">unter Einbeziehung von Day-Ahead und </w:t>
      </w:r>
      <w:r w:rsidRPr="00444804">
        <w:rPr>
          <w:szCs w:val="22"/>
        </w:rPr>
        <w:t>Within-Day</w:t>
      </w:r>
      <w:r>
        <w:rPr>
          <w:szCs w:val="22"/>
        </w:rPr>
        <w:t xml:space="preserve"> P</w:t>
      </w:r>
      <w:r w:rsidRPr="00444804">
        <w:rPr>
          <w:szCs w:val="22"/>
        </w:rPr>
        <w:t>rodukten, wobei bei Day-Ahead Produkten der Erfüllungstag maßgeblich ist, mit dem Lieferort Virtueller Handelspunkt</w:t>
      </w:r>
      <w:r>
        <w:rPr>
          <w:szCs w:val="22"/>
        </w:rPr>
        <w:t>,</w:t>
      </w:r>
      <w:r w:rsidRPr="00444804">
        <w:rPr>
          <w:szCs w:val="22"/>
        </w:rPr>
        <w:t xml:space="preserve"> an denen der jeweilige Marktgebietsverantwortliche für den betrachteten Gastag beteiligt ist. </w:t>
      </w:r>
      <w:r w:rsidRPr="001B7BB7">
        <w:rPr>
          <w:szCs w:val="22"/>
        </w:rPr>
        <w:t>Dies u</w:t>
      </w:r>
      <w:r w:rsidRPr="001B7BB7">
        <w:rPr>
          <w:szCs w:val="22"/>
        </w:rPr>
        <w:t>m</w:t>
      </w:r>
      <w:r w:rsidRPr="001B7BB7">
        <w:rPr>
          <w:szCs w:val="22"/>
        </w:rPr>
        <w:t xml:space="preserve">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spezifische</w:t>
      </w:r>
      <w:r w:rsidRPr="001B7BB7">
        <w:rPr>
          <w:szCs w:val="22"/>
        </w:rPr>
        <w:t xml:space="preserve"> Produkte</w:t>
      </w:r>
      <w:r>
        <w:rPr>
          <w:szCs w:val="22"/>
        </w:rPr>
        <w:t xml:space="preserve"> im e</w:t>
      </w:r>
      <w:r>
        <w:rPr>
          <w:szCs w:val="22"/>
        </w:rPr>
        <w:t>i</w:t>
      </w:r>
      <w:r>
        <w:rPr>
          <w:szCs w:val="22"/>
        </w:rPr>
        <w:t>genen oder angrenzenden Marktgebiet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w:t>
      </w:r>
      <w:r>
        <w:rPr>
          <w:szCs w:val="22"/>
        </w:rPr>
        <w:t>e</w:t>
      </w:r>
      <w:r>
        <w:rPr>
          <w:szCs w:val="22"/>
        </w:rPr>
        <w:t>rücksichtigen.</w:t>
      </w:r>
    </w:p>
    <w:p w:rsidR="00484E62" w:rsidRDefault="00484E62" w:rsidP="00484E62">
      <w:pPr>
        <w:pStyle w:val="Listenabsatz"/>
        <w:numPr>
          <w:ilvl w:val="3"/>
          <w:numId w:val="90"/>
        </w:numPr>
        <w:spacing w:line="276" w:lineRule="auto"/>
        <w:ind w:left="1276" w:hanging="425"/>
        <w:contextualSpacing/>
        <w:rPr>
          <w:szCs w:val="22"/>
        </w:rPr>
      </w:pPr>
      <w:r w:rsidRPr="00444804">
        <w:rPr>
          <w:szCs w:val="22"/>
        </w:rPr>
        <w:t xml:space="preserve">Mengengewichteter Gasdurchschnittspreis für den jeweiligen Gastag abzüglich </w:t>
      </w:r>
      <w:r>
        <w:rPr>
          <w:szCs w:val="22"/>
        </w:rPr>
        <w:t xml:space="preserve">zwei Prozent. </w:t>
      </w:r>
      <w:r w:rsidRPr="00444804">
        <w:rPr>
          <w:szCs w:val="22"/>
        </w:rPr>
        <w:t xml:space="preserve">Zur Ermittlung des mengengewichteten Gasdurchschnittspreises ist der an der </w:t>
      </w:r>
      <w:r>
        <w:rPr>
          <w:szCs w:val="22"/>
        </w:rPr>
        <w:t xml:space="preserve">relevanten </w:t>
      </w:r>
      <w:r w:rsidRPr="00444804">
        <w:rPr>
          <w:szCs w:val="22"/>
        </w:rPr>
        <w:t>Handels</w:t>
      </w:r>
      <w:r w:rsidRPr="00922B76">
        <w:rPr>
          <w:szCs w:val="22"/>
        </w:rPr>
        <w:t xml:space="preserve">plattform </w:t>
      </w:r>
      <w:r w:rsidRPr="00444804">
        <w:rPr>
          <w:szCs w:val="22"/>
        </w:rPr>
        <w:t>gebildete mengengewichtete Ga</w:t>
      </w:r>
      <w:r w:rsidRPr="00444804">
        <w:rPr>
          <w:szCs w:val="22"/>
        </w:rPr>
        <w:t>s</w:t>
      </w:r>
      <w:r w:rsidRPr="00444804">
        <w:rPr>
          <w:szCs w:val="22"/>
        </w:rPr>
        <w:t xml:space="preserve">durchschnittspreis mit dem Lieferort </w:t>
      </w:r>
      <w:r>
        <w:rPr>
          <w:szCs w:val="22"/>
        </w:rPr>
        <w:t>v</w:t>
      </w:r>
      <w:r w:rsidRPr="00444804">
        <w:rPr>
          <w:szCs w:val="22"/>
        </w:rPr>
        <w:t>irtueller Handelspunkt des jeweiligen Marktgebiets für den jeweiligen Gastag heranzuziehen. Hierbei werden Within-Day und Day-Ahead Produkte herangezogen, wobei bei Day-Ahead Produkten der Erfüllungstag maßgeblich ist.</w:t>
      </w:r>
    </w:p>
    <w:p w:rsidR="00484E62" w:rsidRDefault="00484E62" w:rsidP="00484E62">
      <w:pPr>
        <w:pStyle w:val="GL3ohneZiffer"/>
        <w:ind w:left="567"/>
        <w:rPr>
          <w:szCs w:val="22"/>
        </w:rPr>
      </w:pPr>
      <w:r>
        <w:rPr>
          <w:szCs w:val="22"/>
        </w:rPr>
        <w:t xml:space="preserve">Unter Day- Ahead Produkten sind u.a. auch Wochenend- sowie Feiertagsprodukte zu </w:t>
      </w:r>
      <w:r w:rsidRPr="0023446E">
        <w:t>verstehen</w:t>
      </w:r>
      <w:r>
        <w:rPr>
          <w:szCs w:val="22"/>
        </w:rPr>
        <w:t>.</w:t>
      </w:r>
    </w:p>
    <w:p w:rsidR="00484E62" w:rsidRDefault="00484E62" w:rsidP="00484E62">
      <w:pPr>
        <w:pStyle w:val="Listenabsatz"/>
        <w:numPr>
          <w:ilvl w:val="0"/>
          <w:numId w:val="95"/>
        </w:numPr>
        <w:ind w:left="851" w:hanging="284"/>
        <w:rPr>
          <w:szCs w:val="22"/>
        </w:rPr>
      </w:pPr>
      <w:r>
        <w:rPr>
          <w:szCs w:val="22"/>
        </w:rPr>
        <w:t>Für die Ermittlung der Ausgleichsenergiepreise sind jene Handlesplattformen rel</w:t>
      </w:r>
      <w:r>
        <w:rPr>
          <w:szCs w:val="22"/>
        </w:rPr>
        <w:t>e</w:t>
      </w:r>
      <w:r>
        <w:rPr>
          <w:szCs w:val="22"/>
        </w:rPr>
        <w:t xml:space="preserve">vant, die die Bundesnetzagenutr als relvante Handelsplattformen nach Art. 22 Abs. 3 Netzkodex Gasbilanzierung genehmigt. </w:t>
      </w:r>
    </w:p>
    <w:p w:rsidR="00484E62" w:rsidRPr="00117672" w:rsidRDefault="00484E62" w:rsidP="00A544C2">
      <w:pPr>
        <w:numPr>
          <w:ilvl w:val="0"/>
          <w:numId w:val="30"/>
        </w:numPr>
        <w:spacing w:line="300" w:lineRule="exact"/>
        <w:rPr>
          <w:szCs w:val="22"/>
        </w:rPr>
      </w:pPr>
      <w:r w:rsidRPr="00444804">
        <w:rPr>
          <w:szCs w:val="22"/>
        </w:rPr>
        <w:t>Sollte eine Ermittlung der positiven und negativen Ausgleichsenergiepreise auf Grun</w:t>
      </w:r>
      <w:r w:rsidRPr="00444804">
        <w:rPr>
          <w:szCs w:val="22"/>
        </w:rPr>
        <w:t>d</w:t>
      </w:r>
      <w:r w:rsidRPr="00444804">
        <w:rPr>
          <w:szCs w:val="22"/>
        </w:rPr>
        <w:t>lage der beschriebenen Systematik nicht möglich sein, ist der jeweilige Ausgleichsene</w:t>
      </w:r>
      <w:r w:rsidRPr="00444804">
        <w:rPr>
          <w:szCs w:val="22"/>
        </w:rPr>
        <w:t>r</w:t>
      </w:r>
      <w:r w:rsidRPr="00444804">
        <w:rPr>
          <w:szCs w:val="22"/>
        </w:rPr>
        <w:t>giepreis des Vortages anzuwenden. Dies gilt auch, wenn dieser bereits nach der E</w:t>
      </w:r>
      <w:r w:rsidRPr="00444804">
        <w:rPr>
          <w:szCs w:val="22"/>
        </w:rPr>
        <w:t>r</w:t>
      </w:r>
      <w:r w:rsidRPr="00444804">
        <w:rPr>
          <w:szCs w:val="22"/>
        </w:rPr>
        <w:t>satzregel gebildet wur</w:t>
      </w:r>
      <w:r w:rsidRPr="002E5487">
        <w:rPr>
          <w:szCs w:val="22"/>
        </w:rPr>
        <w:t>de</w:t>
      </w:r>
      <w:r w:rsidRPr="00444804">
        <w:rPr>
          <w:szCs w:val="22"/>
        </w:rPr>
        <w:t>.</w:t>
      </w:r>
    </w:p>
    <w:p w:rsidR="00484E62" w:rsidRDefault="00484E62" w:rsidP="00A544C2">
      <w:pPr>
        <w:numPr>
          <w:ilvl w:val="0"/>
          <w:numId w:val="30"/>
        </w:numPr>
        <w:spacing w:line="300" w:lineRule="exact"/>
        <w:rPr>
          <w:szCs w:val="22"/>
        </w:rPr>
      </w:pPr>
      <w:r w:rsidRPr="00444804">
        <w:rPr>
          <w:szCs w:val="22"/>
        </w:rPr>
        <w:t xml:space="preserve">Für die Ermittlung der täglichen Ausgleichsenergieentgelte </w:t>
      </w:r>
      <w:r w:rsidRPr="00102E37">
        <w:rPr>
          <w:szCs w:val="22"/>
        </w:rPr>
        <w:t>multipliziert der Marktg</w:t>
      </w:r>
      <w:r w:rsidRPr="00102E37">
        <w:rPr>
          <w:szCs w:val="22"/>
        </w:rPr>
        <w:t>e</w:t>
      </w:r>
      <w:r w:rsidRPr="00102E37">
        <w:rPr>
          <w:szCs w:val="22"/>
        </w:rPr>
        <w:t>bietsverantwortliche die täglichen Ausgleichsenergiemengen gemäß Ziffer 1 und 2 mit den täglichen Ausgleichsenergiepreisen gemäß Ziffer 4.</w:t>
      </w:r>
      <w:r w:rsidRPr="001C545E">
        <w:rPr>
          <w:szCs w:val="22"/>
        </w:rPr>
        <w:t xml:space="preserve"> </w:t>
      </w:r>
    </w:p>
    <w:p w:rsidR="00042572" w:rsidRDefault="00042572" w:rsidP="00042572">
      <w:pPr>
        <w:pStyle w:val="berschrift1"/>
      </w:pPr>
      <w:bookmarkStart w:id="33" w:name="_Toc476824418"/>
      <w:r>
        <w:t>§ 15 Differenzmengenabrechnung</w:t>
      </w:r>
      <w:bookmarkEnd w:id="33"/>
    </w:p>
    <w:p w:rsidR="00042572" w:rsidRDefault="00042572" w:rsidP="00042572">
      <w:pPr>
        <w:pStyle w:val="BulletPGL2"/>
        <w:numPr>
          <w:ilvl w:val="0"/>
          <w:numId w:val="0"/>
        </w:numPr>
      </w:pPr>
      <w:r w:rsidRPr="009F7090">
        <w:t xml:space="preserve">Für die von den Marktgebietsverantwortlichen gegenüber dem Bilanzkreisverantwortlichen vorzunehmende Abrechnung der Differenzmengen, die sich aus </w:t>
      </w:r>
      <w:r>
        <w:t xml:space="preserve">der Mengenzuordnung mit Bilanzierungsbrennwert und der Mengenzuordnung mit Abrechnungsbrennwert von RLM-Ausspeisepunkten eines Bilanzkreises </w:t>
      </w:r>
      <w:r w:rsidRPr="006730E3">
        <w:t>inklusive des Allokationsclearings gemäß § </w:t>
      </w:r>
      <w:r w:rsidR="00CD6DBD">
        <w:t>13</w:t>
      </w:r>
      <w:r w:rsidRPr="006730E3">
        <w:t xml:space="preserve"> Ziffer </w:t>
      </w:r>
      <w:r w:rsidR="00CD6DBD">
        <w:t>1</w:t>
      </w:r>
      <w:r w:rsidRPr="006730E3">
        <w:t xml:space="preserve"> lit.</w:t>
      </w:r>
      <w:r>
        <w:t>d</w:t>
      </w:r>
      <w:r w:rsidRPr="006730E3">
        <w:t xml:space="preserve"> sowie gemäß § </w:t>
      </w:r>
      <w:r w:rsidR="001C088B">
        <w:t>1</w:t>
      </w:r>
      <w:r w:rsidR="00CD6DBD">
        <w:t>3</w:t>
      </w:r>
      <w:r w:rsidRPr="006730E3">
        <w:t xml:space="preserve"> Ziffer </w:t>
      </w:r>
      <w:r w:rsidR="00CD6DBD">
        <w:t>3</w:t>
      </w:r>
      <w:r w:rsidRPr="006730E3">
        <w:t xml:space="preserve"> </w:t>
      </w:r>
      <w:r>
        <w:t>ergeben,</w:t>
      </w:r>
      <w:r w:rsidRPr="006730E3">
        <w:t xml:space="preserve"> gilt Folgendes:</w:t>
      </w:r>
    </w:p>
    <w:p w:rsidR="00042572" w:rsidRDefault="00042572" w:rsidP="00042572">
      <w:pPr>
        <w:pStyle w:val="BulletPGL2"/>
        <w:numPr>
          <w:ilvl w:val="0"/>
          <w:numId w:val="94"/>
        </w:numPr>
      </w:pPr>
      <w:r w:rsidRPr="009F7090">
        <w:t xml:space="preserve">Die Ermittlung der </w:t>
      </w:r>
      <w:r>
        <w:t>Differenz</w:t>
      </w:r>
      <w:r w:rsidRPr="009F7090">
        <w:t>mengen erfolgt auf täglicher Basis zum Ende eines Monats. Für die Abrechnung ist der tägliche an der rel</w:t>
      </w:r>
      <w:r w:rsidRPr="00BC63F1">
        <w:t>evanten Handelsplattform gebildete me</w:t>
      </w:r>
      <w:r w:rsidRPr="00BC63F1">
        <w:t>n</w:t>
      </w:r>
      <w:r w:rsidRPr="00BC63F1">
        <w:t>gengewichtete Gasdurchschnittspreis mit dem Lieferort virtueller Handelspunkt (unter Einbeziehung von Day</w:t>
      </w:r>
      <w:r>
        <w:t>-</w:t>
      </w:r>
      <w:r w:rsidRPr="00BC63F1">
        <w:t>Ahead und Within</w:t>
      </w:r>
      <w:r>
        <w:t>-</w:t>
      </w:r>
      <w:r w:rsidRPr="00BC63F1">
        <w:t>Day</w:t>
      </w:r>
      <w:r>
        <w:t xml:space="preserve"> </w:t>
      </w:r>
      <w:r w:rsidRPr="00BC63F1">
        <w:t>Produkten) heranzuzie</w:t>
      </w:r>
      <w:r>
        <w:t xml:space="preserve">hen. Dieser ist sowohl auf positive als auch negative Differenzmengen </w:t>
      </w:r>
      <w:r w:rsidRPr="00BC63F1">
        <w:t>anzuwe</w:t>
      </w:r>
      <w:r w:rsidRPr="00D46FA1">
        <w:t>nden</w:t>
      </w:r>
      <w:r>
        <w:t>.</w:t>
      </w:r>
    </w:p>
    <w:p w:rsidR="00042572" w:rsidRDefault="00042572" w:rsidP="00042572">
      <w:pPr>
        <w:pStyle w:val="BulletPGL2"/>
        <w:numPr>
          <w:ilvl w:val="0"/>
          <w:numId w:val="94"/>
        </w:numPr>
      </w:pPr>
      <w:r>
        <w:t xml:space="preserve">Für Tage, an denen der Netzbetreiber dem </w:t>
      </w:r>
      <w:r w:rsidRPr="009F7090">
        <w:t>Marktgebietsverantwortlichen</w:t>
      </w:r>
      <w:r>
        <w:t xml:space="preserve"> keine mit A</w:t>
      </w:r>
      <w:r>
        <w:t>b</w:t>
      </w:r>
      <w:r>
        <w:t xml:space="preserve">rechnungsbrennwert umgewerteten Mengen gesendet hat, verwendet der </w:t>
      </w:r>
      <w:r w:rsidRPr="009F7090">
        <w:t>Marktg</w:t>
      </w:r>
      <w:r w:rsidRPr="009F7090">
        <w:t>e</w:t>
      </w:r>
      <w:r w:rsidRPr="009F7090">
        <w:t>bietsverantwortliche</w:t>
      </w:r>
      <w:r>
        <w:t xml:space="preserve"> die mit Bilanzierungsbrennwert umgewerteten Mengen auch für die </w:t>
      </w:r>
      <w:r w:rsidRPr="009F7090">
        <w:t>endgülti</w:t>
      </w:r>
      <w:r>
        <w:t>ge</w:t>
      </w:r>
      <w:r w:rsidRPr="009F7090">
        <w:t xml:space="preserve"> Mengenzuor</w:t>
      </w:r>
      <w:r w:rsidRPr="008E5E1E">
        <w:t>d</w:t>
      </w:r>
      <w:r w:rsidRPr="009F7090">
        <w:t>nung eines Bilanzkreises</w:t>
      </w:r>
      <w:r>
        <w:t>. Daraus resultiert eine Differenzme</w:t>
      </w:r>
      <w:r>
        <w:t>n</w:t>
      </w:r>
      <w:r>
        <w:t>ge von Null für die entsprechenden Tage.</w:t>
      </w:r>
    </w:p>
    <w:p w:rsidR="00042572" w:rsidRDefault="00042572" w:rsidP="00042572">
      <w:pPr>
        <w:pStyle w:val="BulletPGL2"/>
        <w:numPr>
          <w:ilvl w:val="0"/>
          <w:numId w:val="94"/>
        </w:numPr>
      </w:pPr>
      <w:r w:rsidRPr="00AE7EF1">
        <w:t>Positive</w:t>
      </w:r>
      <w:r>
        <w:t xml:space="preserve"> </w:t>
      </w:r>
      <w:r w:rsidRPr="00AE7EF1">
        <w:t>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w:t>
      </w:r>
      <w:r w:rsidRPr="00AE7EF1">
        <w:t>e</w:t>
      </w:r>
      <w:r w:rsidRPr="00AE7EF1">
        <w:t>rungsbrennwert) vergütet der Marktgebietsverantwortliche dem Bilanzkreisverantwortl</w:t>
      </w:r>
      <w:r w:rsidRPr="00AE7EF1">
        <w:t>i</w:t>
      </w:r>
      <w:r w:rsidRPr="00AE7EF1">
        <w:t>chen</w:t>
      </w:r>
      <w:r>
        <w:t>.</w:t>
      </w:r>
    </w:p>
    <w:p w:rsidR="00CD6DBD" w:rsidRPr="00D80C92" w:rsidRDefault="00B70A92" w:rsidP="00CD6DBD">
      <w:pPr>
        <w:pStyle w:val="BulletPGL2"/>
        <w:numPr>
          <w:ilvl w:val="0"/>
          <w:numId w:val="94"/>
        </w:numPr>
      </w:pPr>
      <w:r w:rsidRPr="00B70A92">
        <w:t>Der Marktgebietsverantwortliche legt für die Berechnung des Differenzmengenpreises die jeweils am Tag D+1 veröffentlichten Gasdurchschnittspreise zu Grunde. Änderu</w:t>
      </w:r>
      <w:r w:rsidRPr="00B70A92">
        <w:t>n</w:t>
      </w:r>
      <w:r w:rsidRPr="00B70A92">
        <w:t>gen an diesen Daten werden bis M+10</w:t>
      </w:r>
      <w:r w:rsidR="001C088B">
        <w:t xml:space="preserve"> </w:t>
      </w:r>
      <w:r w:rsidRPr="00B70A92">
        <w:t>W</w:t>
      </w:r>
      <w:r w:rsidR="001C088B">
        <w:t>erktage</w:t>
      </w:r>
      <w:r w:rsidRPr="00B70A92">
        <w:t xml:space="preserve"> beim Marktgebietsverantwortlichen berücksichtigt. Ab M+10 WT werden die veröffentlichten Preise nicht mehr ang</w:t>
      </w:r>
      <w:r w:rsidRPr="00B70A92">
        <w:t>e</w:t>
      </w:r>
      <w:r w:rsidRPr="00B70A92">
        <w:t>passt.</w:t>
      </w:r>
      <w:r w:rsidR="00CD6DBD" w:rsidRPr="00C905D8">
        <w:t xml:space="preserve">Hätte ein geänderter </w:t>
      </w:r>
      <w:r w:rsidR="00CD6DBD">
        <w:t xml:space="preserve">Gasdurchschnittspreis </w:t>
      </w:r>
      <w:r w:rsidR="00CD6DBD" w:rsidRPr="00C905D8">
        <w:t xml:space="preserve">zu </w:t>
      </w:r>
      <w:r w:rsidR="00CD6DBD">
        <w:t>einer Änderung des Differen</w:t>
      </w:r>
      <w:r w:rsidR="00CD6DBD">
        <w:t>z</w:t>
      </w:r>
      <w:r w:rsidR="00CD6DBD">
        <w:t>mengenpreises</w:t>
      </w:r>
      <w:r>
        <w:t xml:space="preserve"> </w:t>
      </w:r>
      <w:r w:rsidR="00CD6DBD" w:rsidRPr="00C905D8">
        <w:t>geführt und weist der Bilanzkreisverantwortliche eine unzumutbare Hä</w:t>
      </w:r>
      <w:r w:rsidR="00CD6DBD" w:rsidRPr="00C905D8">
        <w:t>r</w:t>
      </w:r>
      <w:r w:rsidR="00CD6DBD" w:rsidRPr="00C905D8">
        <w:t>te nach, wird dem Bilanzkreisverantwortlichen die Differenz zwischen der tatsächlichen Bilanzkreisabrechnung und der Bilanzkreisabrechnung bei Zugrundelegung des geä</w:t>
      </w:r>
      <w:r w:rsidR="00CD6DBD" w:rsidRPr="00C905D8">
        <w:t>n</w:t>
      </w:r>
      <w:r w:rsidR="00CD6DBD" w:rsidRPr="00C905D8">
        <w:t xml:space="preserve">derten </w:t>
      </w:r>
      <w:r w:rsidR="00CD6DBD">
        <w:t xml:space="preserve">Differenzmengenpreises </w:t>
      </w:r>
      <w:r w:rsidR="00CD6DBD" w:rsidRPr="00C905D8">
        <w:t>gutgeschrieben oder in Rechnung gestellt. Eine unz</w:t>
      </w:r>
      <w:r w:rsidR="00CD6DBD" w:rsidRPr="00C905D8">
        <w:t>u</w:t>
      </w:r>
      <w:r w:rsidR="00CD6DBD" w:rsidRPr="00C905D8">
        <w:t xml:space="preserve">mutbare Härte liegt für den </w:t>
      </w:r>
      <w:r w:rsidR="00CD6DBD" w:rsidRPr="00D80C92">
        <w:t>Bilanzkreisverantwortlichen insbesondere dann vor, wenn die Abweichung zwischen dem an M+10 Werktagen veröffentlichten und dem hypoth</w:t>
      </w:r>
      <w:r w:rsidR="00CD6DBD" w:rsidRPr="00D80C92">
        <w:t>e</w:t>
      </w:r>
      <w:r w:rsidR="00CD6DBD" w:rsidRPr="00D80C92">
        <w:t xml:space="preserve">tischen Ausgleichsenergieentgelt unter Zugrundelegung des geänderten </w:t>
      </w:r>
      <w:r w:rsidR="00CD6DBD">
        <w:t>Gasdurc</w:t>
      </w:r>
      <w:r w:rsidR="00CD6DBD">
        <w:t>h</w:t>
      </w:r>
      <w:r w:rsidR="00CD6DBD">
        <w:t xml:space="preserve">schnittspreises </w:t>
      </w:r>
      <w:r w:rsidR="00CD6DBD" w:rsidRPr="00D80C92">
        <w:t>2 % überschreitet.</w:t>
      </w:r>
    </w:p>
    <w:p w:rsidR="00432220" w:rsidRPr="003F7C7B" w:rsidRDefault="008F00DC" w:rsidP="00432220">
      <w:pPr>
        <w:pStyle w:val="BulletPGL2"/>
        <w:numPr>
          <w:ilvl w:val="0"/>
          <w:numId w:val="94"/>
        </w:numPr>
      </w:pPr>
      <w:r>
        <w:t xml:space="preserve">Der Preis </w:t>
      </w:r>
      <w:r w:rsidR="00432220">
        <w:t>für</w:t>
      </w:r>
      <w:r w:rsidR="00432220" w:rsidRPr="00E9716F">
        <w:t xml:space="preserve"> </w:t>
      </w:r>
      <w:r w:rsidR="00432220">
        <w:t xml:space="preserve">Differenzmengen </w:t>
      </w:r>
      <w:r>
        <w:t xml:space="preserve">wird </w:t>
      </w:r>
      <w:r w:rsidR="00432220" w:rsidRPr="00E9716F">
        <w:t>mit 4 Nachkommastellen berechnet und kaufmä</w:t>
      </w:r>
      <w:r w:rsidR="00432220" w:rsidRPr="00E9716F">
        <w:t>n</w:t>
      </w:r>
      <w:r w:rsidR="00432220" w:rsidRPr="00E9716F">
        <w:t>nisch gerundet.</w:t>
      </w:r>
      <w:r w:rsidR="00432220">
        <w:t xml:space="preserve"> </w:t>
      </w:r>
      <w:r w:rsidR="00432220" w:rsidRPr="00E9716F">
        <w:t xml:space="preserve">Die Abrechnung des Bilanzkreises erfolgt spätestens 2 Monate nach dem jeweils </w:t>
      </w:r>
      <w:r w:rsidR="00432220" w:rsidRPr="003F7C7B">
        <w:t>abzurechnenden Monat.</w:t>
      </w:r>
    </w:p>
    <w:p w:rsidR="006F5CBD" w:rsidRPr="00E9716F" w:rsidRDefault="006F5CBD" w:rsidP="00432220">
      <w:pPr>
        <w:pStyle w:val="berschrift1"/>
      </w:pPr>
      <w:bookmarkStart w:id="34" w:name="_Toc476824419"/>
      <w:r>
        <w:t>§ 16 Bilanzierungs</w:t>
      </w:r>
      <w:r w:rsidRPr="00E9716F">
        <w:t>umlage</w:t>
      </w:r>
      <w:r>
        <w:t>n</w:t>
      </w:r>
      <w:bookmarkEnd w:id="34"/>
    </w:p>
    <w:p w:rsidR="006F5CBD" w:rsidRDefault="006F5CBD" w:rsidP="006F5CBD">
      <w:pPr>
        <w:pStyle w:val="BulletPGL2"/>
        <w:numPr>
          <w:ilvl w:val="0"/>
          <w:numId w:val="96"/>
        </w:numPr>
      </w:pPr>
      <w:r w:rsidRPr="008263F6">
        <w:t>Für an SLP- und RLM Ausspeisepunkten ausgespeiste Energiemengen werden vom Marktgebietsverantwortlichen jeweils separate Bilanzierungsumlagen in Euro/MWh e</w:t>
      </w:r>
      <w:r w:rsidRPr="008263F6">
        <w:t>r</w:t>
      </w:r>
      <w:r w:rsidRPr="008263F6">
        <w:t>hoben. Die SLP Bilanzierungsumlage ist von Bilanzkreisverantwortlichen zu tragen, die SLP-Ausspeisepunkte beliefern. Die RLM Bilanzierungsumlage ist von Bilanzkreisv</w:t>
      </w:r>
      <w:r w:rsidRPr="008263F6">
        <w:t>e</w:t>
      </w:r>
      <w:r w:rsidRPr="008263F6">
        <w:t>rantwortlichen zu tragen, die RLM-Ausspeisepunkte beliefern. Die Abrechnung der B</w:t>
      </w:r>
      <w:r w:rsidRPr="008263F6">
        <w:t>i</w:t>
      </w:r>
      <w:r w:rsidRPr="008263F6">
        <w:t xml:space="preserve">lanzierungsumlagen </w:t>
      </w:r>
      <w:r w:rsidRPr="001D0FB1">
        <w:t>erfolgt</w:t>
      </w:r>
      <w:r w:rsidRPr="008263F6">
        <w:t xml:space="preserve"> monatlich im Zuge der Bilanzkreisabrechnung. Zur Berec</w:t>
      </w:r>
      <w:r w:rsidRPr="008263F6">
        <w:t>h</w:t>
      </w:r>
      <w:r w:rsidRPr="008263F6">
        <w:t>nung der vom Bilanzkreisverantwortlichen zu entrichtenden SLP Bilanzierungsumlage multipliziert der Marktgebietsverantwortliche die bilanzrelevanten SLP Ausspeiseme</w:t>
      </w:r>
      <w:r w:rsidRPr="008263F6">
        <w:t>n</w:t>
      </w:r>
      <w:r w:rsidRPr="008263F6">
        <w:t>gen eines Bilanzkreisverantwortlichen mit der jeweils gültigen SLP Bilanzierungsuml</w:t>
      </w:r>
      <w:r w:rsidRPr="008263F6">
        <w:t>a</w:t>
      </w:r>
      <w:r w:rsidRPr="008263F6">
        <w:t>ge. Zur Berechnung der vom Bilanzkreisverantwortlichen zu entrichtenden RLM Bila</w:t>
      </w:r>
      <w:r w:rsidRPr="008263F6">
        <w:t>n</w:t>
      </w:r>
      <w:r w:rsidRPr="008263F6">
        <w:t xml:space="preserve">zierungsumlage multipliziert der Marktgebietsverantwortliche die bilanzrelevanten RLM Ausspeisemengen eines Bilanzkreisverantwortlichen </w:t>
      </w:r>
      <w:r>
        <w:t xml:space="preserve">unter Berücksichtigung der Brennwertkorrektur </w:t>
      </w:r>
      <w:r w:rsidRPr="008263F6">
        <w:t>mit der jeweils gültigen RLM Bilanzierungsumlage</w:t>
      </w:r>
      <w:r>
        <w:t>.</w:t>
      </w:r>
    </w:p>
    <w:p w:rsidR="006F5CBD" w:rsidRDefault="006F5CBD" w:rsidP="006F5CBD">
      <w:pPr>
        <w:pStyle w:val="BulletPGL2"/>
        <w:numPr>
          <w:ilvl w:val="0"/>
          <w:numId w:val="96"/>
        </w:numPr>
      </w:pPr>
      <w:r w:rsidRPr="008263F6">
        <w:t>Für die jeweiligen Bilanzierungsumlagen richtet der Marktgebietsverantwortliche sep</w:t>
      </w:r>
      <w:r w:rsidRPr="008263F6">
        <w:t>a</w:t>
      </w:r>
      <w:r w:rsidRPr="008263F6">
        <w:t>rate Bilanzierungsumlagekonten ein, auf denen die Kosten und Erlöse gemäß Ziffer 3 zugeordnet werden.</w:t>
      </w:r>
    </w:p>
    <w:p w:rsidR="006F5CBD" w:rsidRPr="008263F6" w:rsidRDefault="006F5CBD" w:rsidP="006F5CBD">
      <w:pPr>
        <w:pStyle w:val="BulletPGL2"/>
        <w:numPr>
          <w:ilvl w:val="0"/>
          <w:numId w:val="96"/>
        </w:numPr>
      </w:pPr>
      <w:r w:rsidRPr="008263F6">
        <w:t>Auf das SLP Bilanzierungsumlagekonto werden vom Marktgebietsverantwortlichen fo</w:t>
      </w:r>
      <w:r w:rsidRPr="008263F6">
        <w:t>l</w:t>
      </w:r>
      <w:r w:rsidRPr="008263F6">
        <w:t>gende Kosten und Erlöse gebucht:</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SLP Bilanzierungsumlage,</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SLP Mehr-/Mindermengenabrechnung</w:t>
      </w:r>
      <w:r>
        <w:rPr>
          <w:szCs w:val="22"/>
        </w:rPr>
        <w:t xml:space="preserve"> (u.a. ggf. A</w:t>
      </w:r>
      <w:r>
        <w:rPr>
          <w:szCs w:val="22"/>
        </w:rPr>
        <w:t>b</w:t>
      </w:r>
      <w:r>
        <w:rPr>
          <w:szCs w:val="22"/>
        </w:rPr>
        <w:t>schlagszahlungen aus der Netzkontenabrechung und Pönalen aus dem A</w:t>
      </w:r>
      <w:r>
        <w:rPr>
          <w:szCs w:val="22"/>
        </w:rPr>
        <w:t>b</w:t>
      </w:r>
      <w:r>
        <w:rPr>
          <w:szCs w:val="22"/>
        </w:rPr>
        <w:t>rechnungs-Anreizsystem zur fristgerechten Übersendung der SLP-Mehr-/Mindermengen-Meldung des Netzbetreibers an den Marktgebietsverantwortl</w:t>
      </w:r>
      <w:r>
        <w:rPr>
          <w:szCs w:val="22"/>
        </w:rPr>
        <w:t>i</w:t>
      </w:r>
      <w:r>
        <w:rPr>
          <w:szCs w:val="22"/>
        </w:rPr>
        <w:t>chen)</w:t>
      </w:r>
      <w:r w:rsidRPr="008263F6">
        <w:rPr>
          <w:szCs w:val="22"/>
        </w:rPr>
        <w:t>,</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w:t>
      </w:r>
      <w:r w:rsidRPr="008263F6">
        <w:rPr>
          <w:szCs w:val="22"/>
        </w:rPr>
        <w:t>r</w:t>
      </w:r>
      <w:r w:rsidRPr="008263F6">
        <w:rPr>
          <w:szCs w:val="22"/>
        </w:rPr>
        <w:t>gie, sofern sie dem SLP Bilanzierungsumlagekonto zuzurechnen sind,</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w:t>
      </w:r>
      <w:r w:rsidRPr="008263F6">
        <w:rPr>
          <w:szCs w:val="22"/>
        </w:rPr>
        <w:t>e</w:t>
      </w:r>
      <w:r w:rsidRPr="008263F6">
        <w:rPr>
          <w:szCs w:val="22"/>
        </w:rPr>
        <w:t>rantwortlichen durchgeführten Bilanzierungstätigkeiten, soweit diese dem SLP Bilanzierungsumlagekonto zuzurechnen sind.</w:t>
      </w:r>
    </w:p>
    <w:p w:rsidR="006F5CBD" w:rsidRPr="00404F53" w:rsidRDefault="006F5CBD" w:rsidP="006F5CBD">
      <w:pPr>
        <w:pStyle w:val="BulletPGL2"/>
        <w:numPr>
          <w:ilvl w:val="0"/>
          <w:numId w:val="96"/>
        </w:numPr>
      </w:pPr>
      <w:r w:rsidRPr="00404F53">
        <w:t>Auf das RLM Bilanzierungsumlagekonto werden vom Marktgebietsverantwortlichen  folgende Kosten und Erlöse gebucht:</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RLM Bilanzierungsumlage,</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negativer bzw. positiver Ausgleichsenergie,</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w:t>
      </w:r>
      <w:r w:rsidRPr="008263F6">
        <w:rPr>
          <w:szCs w:val="22"/>
        </w:rPr>
        <w:t>r</w:t>
      </w:r>
      <w:r w:rsidRPr="008263F6">
        <w:rPr>
          <w:szCs w:val="22"/>
        </w:rPr>
        <w:t>gie, sofern sie dem RLM Bilanzierungsumlagekonto zuzurechnen sind,</w:t>
      </w:r>
    </w:p>
    <w:p w:rsidR="006F5CBD"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w:t>
      </w:r>
      <w:r w:rsidRPr="008263F6">
        <w:rPr>
          <w:szCs w:val="22"/>
        </w:rPr>
        <w:t>e</w:t>
      </w:r>
      <w:r w:rsidRPr="008263F6">
        <w:rPr>
          <w:szCs w:val="22"/>
        </w:rPr>
        <w:t>rantwortlichen durchgeführten Bilanzierungstätigkeiten, soweit diese dem RLM Bilanzierungsumlagekonto zuzurechnen sind</w:t>
      </w:r>
      <w:r>
        <w:rPr>
          <w:szCs w:val="22"/>
        </w:rPr>
        <w:t xml:space="preserve"> (u.a. auch Kosten und Erlöse aus der Differenzmengenabrechnung)</w:t>
      </w:r>
      <w:r w:rsidRPr="008263F6">
        <w:rPr>
          <w:szCs w:val="22"/>
        </w:rPr>
        <w:t>.</w:t>
      </w:r>
    </w:p>
    <w:p w:rsidR="006F5CBD" w:rsidRPr="008263F6" w:rsidRDefault="00991A96" w:rsidP="006F5CBD">
      <w:pPr>
        <w:pStyle w:val="Listenabsatz"/>
        <w:numPr>
          <w:ilvl w:val="0"/>
          <w:numId w:val="88"/>
        </w:numPr>
        <w:spacing w:after="200" w:line="276" w:lineRule="auto"/>
        <w:ind w:left="1276" w:hanging="425"/>
        <w:contextualSpacing/>
        <w:rPr>
          <w:szCs w:val="22"/>
        </w:rPr>
      </w:pPr>
      <w:r>
        <w:rPr>
          <w:szCs w:val="22"/>
        </w:rPr>
        <w:t>Flexibilitätskostenbeitrag gemäß § 6</w:t>
      </w:r>
    </w:p>
    <w:p w:rsidR="006F5CBD" w:rsidRDefault="006F5CBD" w:rsidP="006F5CBD">
      <w:pPr>
        <w:pStyle w:val="BulletPGL2"/>
        <w:numPr>
          <w:ilvl w:val="0"/>
          <w:numId w:val="96"/>
        </w:numPr>
      </w:pPr>
      <w:r>
        <w:t>Kosten und Erlöse aus Leistungen, die vor dem 1. Oktober 2015 erbracht wurden, aber erst nach diesem Zeitpunkt abgerechnet werden, werden bis zum 30. September 2017 anhand des Verteilungsschlüssels für SLP und RLM im Verhältnis 40:60 auf die beiden Bilanzierungsumlagekonten überführt.</w:t>
      </w:r>
    </w:p>
    <w:p w:rsidR="006F5CBD" w:rsidRDefault="006F5CBD" w:rsidP="006F5CBD">
      <w:pPr>
        <w:pStyle w:val="BulletPGL2"/>
        <w:numPr>
          <w:ilvl w:val="0"/>
          <w:numId w:val="96"/>
        </w:numPr>
      </w:pPr>
      <w:r w:rsidRPr="008263F6">
        <w:t>Die Aufteilung der Kosten und Erlöse aus der Beschaffung und Veräußerung externer Regelenergie sowie die Aufteilung der sonstigen Kosten und Erlöse auf das SLP und RLM Bilanzierungsumlagekonto ist vom Marktgebietsverantwortlichen tagesscharf g</w:t>
      </w:r>
      <w:r w:rsidRPr="008263F6">
        <w:t>e</w:t>
      </w:r>
      <w:r w:rsidRPr="008263F6">
        <w:t xml:space="preserve">mäß den Ziffern </w:t>
      </w:r>
      <w:r w:rsidR="00991A96">
        <w:t>7</w:t>
      </w:r>
      <w:r>
        <w:t xml:space="preserve"> bis </w:t>
      </w:r>
      <w:r w:rsidR="00991A96">
        <w:t>10</w:t>
      </w:r>
      <w:r w:rsidRPr="008263F6">
        <w:t xml:space="preserve"> vorzunehmen. </w:t>
      </w:r>
    </w:p>
    <w:p w:rsidR="006F5CBD" w:rsidRDefault="006F5CBD" w:rsidP="006F5CBD">
      <w:pPr>
        <w:pStyle w:val="BulletPGL2"/>
        <w:numPr>
          <w:ilvl w:val="0"/>
          <w:numId w:val="96"/>
        </w:numPr>
      </w:pPr>
      <w:r w:rsidRPr="008263F6">
        <w:t xml:space="preserve">An Gastagen mit externem Regelenergieeinsatz ist vom Marktgebietsverantwortlichen ein </w:t>
      </w:r>
      <w:r>
        <w:t xml:space="preserve">täglicher </w:t>
      </w:r>
      <w:r w:rsidRPr="008263F6">
        <w:t>Verteilungsschlüssel anzuwenden, der wie folgt zu bestimmen ist:</w:t>
      </w:r>
    </w:p>
    <w:p w:rsidR="006F5CBD" w:rsidRDefault="006F5CBD" w:rsidP="006F5CBD">
      <w:pPr>
        <w:pStyle w:val="Listenabsatz"/>
        <w:ind w:left="851" w:hanging="284"/>
        <w:rPr>
          <w:szCs w:val="22"/>
        </w:rPr>
      </w:pPr>
      <w:r>
        <w:rPr>
          <w:szCs w:val="22"/>
        </w:rPr>
        <w:t>a)</w:t>
      </w:r>
      <w:r>
        <w:rPr>
          <w:szCs w:val="22"/>
        </w:rPr>
        <w:tab/>
      </w:r>
      <w:r w:rsidRPr="008263F6">
        <w:rPr>
          <w:szCs w:val="22"/>
        </w:rPr>
        <w:t>Zunächst saldiert der Marktgebietsverantwortliche die Kosten und Erlöse in Euro aus der Beschaffung und Veräußerung externer Regelenergie (=saldiertes Ergebnis) und ermittelt den SLP-Saldo in MWh und den RLM-Saldo in MWh.</w:t>
      </w:r>
    </w:p>
    <w:p w:rsidR="006F5CBD" w:rsidRDefault="006F5CBD" w:rsidP="006F5CBD">
      <w:pPr>
        <w:pStyle w:val="Listenabsatz"/>
        <w:ind w:left="851" w:hanging="284"/>
        <w:rPr>
          <w:szCs w:val="22"/>
        </w:rPr>
      </w:pPr>
      <w:r>
        <w:rPr>
          <w:szCs w:val="22"/>
        </w:rPr>
        <w:t>b)</w:t>
      </w:r>
      <w:r>
        <w:rPr>
          <w:szCs w:val="22"/>
        </w:rPr>
        <w:tab/>
      </w:r>
      <w:r w:rsidRPr="008263F6">
        <w:rPr>
          <w:szCs w:val="22"/>
        </w:rPr>
        <w:t>Zur Ermittlung des SLP-Saldos in MWh werden die täglich allokierten Ausspeisu</w:t>
      </w:r>
      <w:r w:rsidRPr="008263F6">
        <w:rPr>
          <w:szCs w:val="22"/>
        </w:rPr>
        <w:t>n</w:t>
      </w:r>
      <w:r w:rsidRPr="008263F6">
        <w:rPr>
          <w:szCs w:val="22"/>
        </w:rPr>
        <w:t>gen</w:t>
      </w:r>
      <w:r w:rsidRPr="008263F6" w:rsidDel="003403C8">
        <w:rPr>
          <w:szCs w:val="22"/>
        </w:rPr>
        <w:t xml:space="preserve"> </w:t>
      </w:r>
      <w:r w:rsidRPr="008263F6">
        <w:rPr>
          <w:szCs w:val="22"/>
        </w:rPr>
        <w:t>inklusive Netzkopplungspunktmeldungen abzüglich der täglich allokierten Ei</w:t>
      </w:r>
      <w:r w:rsidRPr="008263F6">
        <w:rPr>
          <w:szCs w:val="22"/>
        </w:rPr>
        <w:t>n</w:t>
      </w:r>
      <w:r w:rsidRPr="008263F6">
        <w:rPr>
          <w:szCs w:val="22"/>
        </w:rPr>
        <w:t>speisungen inklusive Netzkopplungspunktmeldungen</w:t>
      </w:r>
      <w:r>
        <w:rPr>
          <w:szCs w:val="22"/>
        </w:rPr>
        <w:t xml:space="preserve"> der Verteilernetzbetreiber</w:t>
      </w:r>
      <w:r w:rsidRPr="008263F6">
        <w:rPr>
          <w:szCs w:val="22"/>
        </w:rPr>
        <w:t xml:space="preserve"> herangezogen und marktgebietsweit saldiert (=SLP-Saldo). Zur Ermittlung des RLM-Saldos werden die Salden aller Bilanzkreise durch das </w:t>
      </w:r>
      <w:r w:rsidRPr="005A7CD7">
        <w:rPr>
          <w:szCs w:val="22"/>
        </w:rPr>
        <w:t>Gegenüberstellen von bilan</w:t>
      </w:r>
      <w:r w:rsidRPr="005A7CD7">
        <w:rPr>
          <w:szCs w:val="22"/>
        </w:rPr>
        <w:t>z</w:t>
      </w:r>
      <w:r w:rsidRPr="005A7CD7">
        <w:rPr>
          <w:szCs w:val="22"/>
        </w:rPr>
        <w:t>relevanten Ein- und Ausspeisemengen bestimmt und marktgebietsweit aufsummiert (=RLM-Saldo).</w:t>
      </w:r>
    </w:p>
    <w:p w:rsidR="006F5CBD" w:rsidRDefault="006F5CBD" w:rsidP="006F5CBD">
      <w:pPr>
        <w:pStyle w:val="Listenabsatz"/>
        <w:ind w:left="851" w:hanging="284"/>
        <w:rPr>
          <w:szCs w:val="22"/>
        </w:rPr>
      </w:pPr>
      <w:r w:rsidRPr="00920B43">
        <w:rPr>
          <w:szCs w:val="22"/>
        </w:rPr>
        <w:t>c</w:t>
      </w:r>
      <w:r>
        <w:rPr>
          <w:szCs w:val="22"/>
        </w:rPr>
        <w:t>)</w:t>
      </w:r>
      <w:r>
        <w:rPr>
          <w:szCs w:val="22"/>
        </w:rPr>
        <w:tab/>
      </w:r>
      <w:r w:rsidRPr="00920B43">
        <w:rPr>
          <w:szCs w:val="22"/>
        </w:rPr>
        <w:t>Weisen die beiden Salden eine übereinstimmende Richtung auf (beide positiv oder beide negativ)</w:t>
      </w:r>
      <w:r>
        <w:rPr>
          <w:szCs w:val="22"/>
        </w:rPr>
        <w:t xml:space="preserve"> </w:t>
      </w:r>
      <w:r w:rsidRPr="00F33FE4">
        <w:rPr>
          <w:szCs w:val="22"/>
        </w:rPr>
        <w:t>und stimmt diese mit der Richtung des externen Regelenergieeinsa</w:t>
      </w:r>
      <w:r w:rsidRPr="00F33FE4">
        <w:rPr>
          <w:szCs w:val="22"/>
        </w:rPr>
        <w:t>t</w:t>
      </w:r>
      <w:r w:rsidRPr="00F33FE4">
        <w:rPr>
          <w:szCs w:val="22"/>
        </w:rPr>
        <w:t>zes überein</w:t>
      </w:r>
      <w:r w:rsidRPr="00920B43">
        <w:rPr>
          <w:szCs w:val="22"/>
        </w:rPr>
        <w:t>, so bestimmt</w:t>
      </w:r>
      <w:r w:rsidRPr="005A7CD7">
        <w:rPr>
          <w:szCs w:val="22"/>
        </w:rPr>
        <w:t xml:space="preserve"> das Verhältnis der beiden Salden zur gesamten richtung</w:t>
      </w:r>
      <w:r w:rsidRPr="005A7CD7">
        <w:rPr>
          <w:szCs w:val="22"/>
        </w:rPr>
        <w:t>s</w:t>
      </w:r>
      <w:r w:rsidRPr="005A7CD7">
        <w:rPr>
          <w:szCs w:val="22"/>
        </w:rPr>
        <w:t xml:space="preserve">gleichen Fehlmenge (Summe von SLP-Saldo und RLM-Saldo) </w:t>
      </w:r>
      <w:r w:rsidRPr="00920B43">
        <w:rPr>
          <w:szCs w:val="22"/>
        </w:rPr>
        <w:t>d</w:t>
      </w:r>
      <w:r>
        <w:rPr>
          <w:szCs w:val="22"/>
        </w:rPr>
        <w:t>ie</w:t>
      </w:r>
      <w:r w:rsidRPr="00920B43">
        <w:rPr>
          <w:szCs w:val="22"/>
        </w:rPr>
        <w:t xml:space="preserve"> Zuordnung </w:t>
      </w:r>
      <w:r>
        <w:rPr>
          <w:szCs w:val="22"/>
        </w:rPr>
        <w:t>des</w:t>
      </w:r>
      <w:r w:rsidRPr="00920B43">
        <w:rPr>
          <w:szCs w:val="22"/>
        </w:rPr>
        <w:t xml:space="preserve"> vom Marktgebietsverantwortlichen</w:t>
      </w:r>
      <w:r w:rsidRPr="005A7CD7">
        <w:rPr>
          <w:szCs w:val="22"/>
        </w:rPr>
        <w:t xml:space="preserve"> für</w:t>
      </w:r>
      <w:r w:rsidRPr="00CB0E50">
        <w:rPr>
          <w:szCs w:val="22"/>
        </w:rPr>
        <w:t xml:space="preserve"> den Gastag festgestellte</w:t>
      </w:r>
      <w:r>
        <w:rPr>
          <w:szCs w:val="22"/>
        </w:rPr>
        <w:t>n</w:t>
      </w:r>
      <w:r w:rsidRPr="00CB0E50">
        <w:rPr>
          <w:szCs w:val="22"/>
        </w:rPr>
        <w:t xml:space="preserve"> saldierten Erge</w:t>
      </w:r>
      <w:r w:rsidRPr="00CB0E50">
        <w:rPr>
          <w:szCs w:val="22"/>
        </w:rPr>
        <w:t>b</w:t>
      </w:r>
      <w:r w:rsidRPr="00CB0E50">
        <w:rPr>
          <w:szCs w:val="22"/>
        </w:rPr>
        <w:t>nis.Die Aufteilung des saldierten Ergebnisses</w:t>
      </w:r>
      <w:r>
        <w:rPr>
          <w:szCs w:val="22"/>
        </w:rPr>
        <w:t xml:space="preserve"> der Kosten und Erlöse der externen Regelenergiebeschaffung</w:t>
      </w:r>
      <w:r w:rsidRPr="00CB0E50">
        <w:rPr>
          <w:szCs w:val="22"/>
        </w:rPr>
        <w:t xml:space="preserve"> ist vom Marktgebietsverantwortlichen entsprechend dem jeweiligen täglichen Verteilungsschlüssel auf das jeweilige Bilanzierungsumlageko</w:t>
      </w:r>
      <w:r w:rsidRPr="00CB0E50">
        <w:rPr>
          <w:szCs w:val="22"/>
        </w:rPr>
        <w:t>n</w:t>
      </w:r>
      <w:r w:rsidRPr="00CB0E50">
        <w:rPr>
          <w:szCs w:val="22"/>
        </w:rPr>
        <w:t>to vorzunehmen.</w:t>
      </w:r>
      <w:r>
        <w:rPr>
          <w:szCs w:val="22"/>
        </w:rPr>
        <w:t xml:space="preserve"> Hierzu wird das saldierte Ergebnis des entsprechenden Tages mit dem jeweiligen täglichen Verteilungsschlüssel multipliziert. </w:t>
      </w:r>
    </w:p>
    <w:p w:rsidR="006F5CBD" w:rsidRPr="00CB0E50" w:rsidRDefault="006F5CBD" w:rsidP="006F5CBD">
      <w:pPr>
        <w:pStyle w:val="Listenabsatz"/>
        <w:ind w:left="851" w:hanging="284"/>
        <w:rPr>
          <w:szCs w:val="22"/>
        </w:rPr>
      </w:pPr>
      <w:r>
        <w:rPr>
          <w:szCs w:val="22"/>
        </w:rPr>
        <w:t>d)</w:t>
      </w:r>
      <w:r>
        <w:rPr>
          <w:szCs w:val="22"/>
        </w:rPr>
        <w:tab/>
      </w:r>
      <w:r w:rsidRPr="00CB0E50">
        <w:rPr>
          <w:szCs w:val="22"/>
        </w:rPr>
        <w:t>Sofern der SLP-Saldo</w:t>
      </w:r>
      <w:r>
        <w:rPr>
          <w:szCs w:val="22"/>
        </w:rPr>
        <w:t xml:space="preserve"> </w:t>
      </w:r>
      <w:r w:rsidRPr="00CB0E50">
        <w:rPr>
          <w:szCs w:val="22"/>
        </w:rPr>
        <w:t>und der RLM-Saldo gegenläufige Richtungen (ein Saldo pos</w:t>
      </w:r>
      <w:r w:rsidRPr="00CB0E50">
        <w:rPr>
          <w:szCs w:val="22"/>
        </w:rPr>
        <w:t>i</w:t>
      </w:r>
      <w:r w:rsidRPr="00CB0E50">
        <w:rPr>
          <w:szCs w:val="22"/>
        </w:rPr>
        <w:t>tiv und ein Saldo negativ) in MWh aufweisen, wird das saldierte Ergebnis dem Bila</w:t>
      </w:r>
      <w:r w:rsidRPr="00CB0E50">
        <w:rPr>
          <w:szCs w:val="22"/>
        </w:rPr>
        <w:t>n</w:t>
      </w:r>
      <w:r w:rsidRPr="00CB0E50">
        <w:rPr>
          <w:szCs w:val="22"/>
        </w:rPr>
        <w:t>zierungsumlagekonto</w:t>
      </w:r>
      <w:r>
        <w:rPr>
          <w:szCs w:val="22"/>
        </w:rPr>
        <w:t xml:space="preserve"> </w:t>
      </w:r>
      <w:r w:rsidRPr="00CB0E50">
        <w:rPr>
          <w:szCs w:val="22"/>
        </w:rPr>
        <w:t>in voller Höhe zugeordnet, de</w:t>
      </w:r>
      <w:r>
        <w:rPr>
          <w:szCs w:val="22"/>
        </w:rPr>
        <w:t>ss</w:t>
      </w:r>
      <w:r w:rsidRPr="00CB0E50">
        <w:rPr>
          <w:szCs w:val="22"/>
        </w:rPr>
        <w:t>en Saldo dieselbe Richtung aufweist</w:t>
      </w:r>
      <w:r>
        <w:rPr>
          <w:szCs w:val="22"/>
        </w:rPr>
        <w:t xml:space="preserve"> wie der externe Regelenergieeinsatz.</w:t>
      </w:r>
    </w:p>
    <w:p w:rsidR="006F5CBD" w:rsidRDefault="006F5CBD" w:rsidP="006F5CBD">
      <w:pPr>
        <w:pStyle w:val="Listenabsatz"/>
        <w:ind w:left="851" w:hanging="284"/>
        <w:rPr>
          <w:szCs w:val="22"/>
        </w:rPr>
      </w:pPr>
      <w:r>
        <w:rPr>
          <w:szCs w:val="22"/>
        </w:rPr>
        <w:t>e)</w:t>
      </w:r>
      <w:r>
        <w:rPr>
          <w:szCs w:val="22"/>
        </w:rPr>
        <w:tab/>
      </w:r>
      <w:r w:rsidRPr="00CB0E50">
        <w:rPr>
          <w:szCs w:val="22"/>
        </w:rPr>
        <w:t xml:space="preserve">Für den Fall, dass der SLP-Saldo </w:t>
      </w:r>
      <w:r>
        <w:rPr>
          <w:szCs w:val="22"/>
        </w:rPr>
        <w:t xml:space="preserve">in MWh </w:t>
      </w:r>
      <w:r w:rsidRPr="00CB0E50">
        <w:rPr>
          <w:szCs w:val="22"/>
        </w:rPr>
        <w:t xml:space="preserve">und der RLM-Saldo </w:t>
      </w:r>
      <w:r>
        <w:rPr>
          <w:szCs w:val="22"/>
        </w:rPr>
        <w:t xml:space="preserve">in MWh </w:t>
      </w:r>
      <w:r w:rsidRPr="00CB0E50">
        <w:rPr>
          <w:szCs w:val="22"/>
        </w:rPr>
        <w:t>eine überei</w:t>
      </w:r>
      <w:r w:rsidRPr="00CB0E50">
        <w:rPr>
          <w:szCs w:val="22"/>
        </w:rPr>
        <w:t>n</w:t>
      </w:r>
      <w:r w:rsidRPr="00CB0E50">
        <w:rPr>
          <w:szCs w:val="22"/>
        </w:rPr>
        <w:t xml:space="preserve">stimmende Richtung aufweisen, der jedoch nicht mit der Richtung des </w:t>
      </w:r>
      <w:r>
        <w:rPr>
          <w:szCs w:val="22"/>
        </w:rPr>
        <w:t xml:space="preserve">externen </w:t>
      </w:r>
      <w:r w:rsidRPr="00CB0E50">
        <w:rPr>
          <w:szCs w:val="22"/>
        </w:rPr>
        <w:t>R</w:t>
      </w:r>
      <w:r w:rsidRPr="00CB0E50">
        <w:rPr>
          <w:szCs w:val="22"/>
        </w:rPr>
        <w:t>e</w:t>
      </w:r>
      <w:r w:rsidRPr="00CB0E50">
        <w:rPr>
          <w:szCs w:val="22"/>
        </w:rPr>
        <w:t xml:space="preserve">gelenergieeinsatzes übereinstimmt, </w:t>
      </w:r>
      <w:r>
        <w:rPr>
          <w:szCs w:val="22"/>
        </w:rPr>
        <w:t>werden die für den Gastag ermittelten Kosten bzw. Erlöse der externen Regelenergiebeschaffung anhand des ex post berechneten Mittelwertes aller täglich ermittelten Verteilungsschlüssel für die betrachtete Uml</w:t>
      </w:r>
      <w:r>
        <w:rPr>
          <w:szCs w:val="22"/>
        </w:rPr>
        <w:t>a</w:t>
      </w:r>
      <w:r>
        <w:rPr>
          <w:szCs w:val="22"/>
        </w:rPr>
        <w:t>geperiode (</w:t>
      </w:r>
      <w:r w:rsidRPr="00CB0E50">
        <w:rPr>
          <w:szCs w:val="22"/>
        </w:rPr>
        <w:t xml:space="preserve"> Verteilungsschlüssel</w:t>
      </w:r>
      <w:r>
        <w:rPr>
          <w:szCs w:val="22"/>
        </w:rPr>
        <w:t xml:space="preserve"> bezogen auf das Gaswirtschaftsjahr bzw. für das erste am 1.Oktober 2015 beginnende Gaswirtschaftsjahr bezogen auf die sechsm</w:t>
      </w:r>
      <w:r>
        <w:rPr>
          <w:szCs w:val="22"/>
        </w:rPr>
        <w:t>o</w:t>
      </w:r>
      <w:r>
        <w:rPr>
          <w:szCs w:val="22"/>
        </w:rPr>
        <w:t>natige Umlageperiode) auf die beiden Bilanzierungsumlagekonten verteilt.</w:t>
      </w:r>
    </w:p>
    <w:p w:rsidR="006F5CBD" w:rsidRPr="00F33FE4" w:rsidRDefault="006F5CBD" w:rsidP="006F5CBD">
      <w:pPr>
        <w:pStyle w:val="Listenabsatz"/>
        <w:ind w:left="851"/>
        <w:rPr>
          <w:szCs w:val="22"/>
        </w:rPr>
      </w:pPr>
      <w:r w:rsidRPr="00F33FE4">
        <w:rPr>
          <w:szCs w:val="22"/>
        </w:rPr>
        <w:t>Der Marktgebietsverantwortliche bildet auf Basis der bis zum Zeitpunkt M+2</w:t>
      </w:r>
      <w:r w:rsidR="001C088B">
        <w:rPr>
          <w:szCs w:val="22"/>
        </w:rPr>
        <w:t xml:space="preserve"> </w:t>
      </w:r>
      <w:r w:rsidRPr="00F33FE4">
        <w:rPr>
          <w:szCs w:val="22"/>
        </w:rPr>
        <w:t>M</w:t>
      </w:r>
      <w:r w:rsidR="001C088B">
        <w:rPr>
          <w:szCs w:val="22"/>
        </w:rPr>
        <w:t xml:space="preserve">onate </w:t>
      </w:r>
      <w:r w:rsidRPr="00F33FE4">
        <w:rPr>
          <w:szCs w:val="22"/>
        </w:rPr>
        <w:t>+10 Werktage vorliegenden Allokationswerte den SLP- und RLM-Saldo. Nachfo</w:t>
      </w:r>
      <w:r w:rsidRPr="00F33FE4">
        <w:rPr>
          <w:szCs w:val="22"/>
        </w:rPr>
        <w:t>l</w:t>
      </w:r>
      <w:r w:rsidRPr="00F33FE4">
        <w:rPr>
          <w:szCs w:val="22"/>
        </w:rPr>
        <w:t>gende Änderungen bleiben hierfür unberücksichtigt.</w:t>
      </w:r>
    </w:p>
    <w:p w:rsidR="006F5CBD" w:rsidRDefault="006F5CBD" w:rsidP="006F5CBD">
      <w:pPr>
        <w:pStyle w:val="BulletPGL2"/>
        <w:numPr>
          <w:ilvl w:val="0"/>
          <w:numId w:val="96"/>
        </w:numPr>
      </w:pPr>
      <w:r>
        <w:t>A</w:t>
      </w:r>
      <w:r w:rsidRPr="008263F6">
        <w:t>n Tagen ohne externen Regelenergieeinsatz wird auf die Tage innerhalb der Laufzeit des jeweiligen Regelenergievertrages ein Verteilungsschlüssel angewendet, der dem ex-post berechneten Mittelwert aller täglich ermittelten Verteilungsschlüssel für die b</w:t>
      </w:r>
      <w:r w:rsidRPr="008263F6">
        <w:t>e</w:t>
      </w:r>
      <w:r w:rsidRPr="008263F6">
        <w:t>trachtete Umlageperiode entspricht</w:t>
      </w:r>
      <w:r>
        <w:t xml:space="preserve"> (jährlicher Verteilungsschlüssel).</w:t>
      </w:r>
    </w:p>
    <w:p w:rsidR="006F5CBD" w:rsidRDefault="006F5CBD" w:rsidP="006F5CBD">
      <w:pPr>
        <w:pStyle w:val="BulletPGL2"/>
        <w:numPr>
          <w:ilvl w:val="0"/>
          <w:numId w:val="96"/>
        </w:numPr>
      </w:pPr>
      <w:r w:rsidRPr="00817985">
        <w:t xml:space="preserve">Leistungspreise der langfristigen standardisierten Regelenergieprodukte oder </w:t>
      </w:r>
      <w:r w:rsidRPr="007B0543">
        <w:t>Flexibil</w:t>
      </w:r>
      <w:r w:rsidRPr="007B0543">
        <w:t>i</w:t>
      </w:r>
      <w:r w:rsidRPr="007B0543">
        <w:t>tätsdienstleistungen</w:t>
      </w:r>
      <w:r w:rsidRPr="00817985">
        <w:t xml:space="preserve"> sowie die Kapazitätsentgelte sind anteilig auf die einzelnen Tage der Laufzeit der Kontrakte aufzuteilen und durch Anwendung des jährlichen Verte</w:t>
      </w:r>
      <w:r w:rsidRPr="00817985">
        <w:t>i</w:t>
      </w:r>
      <w:r w:rsidRPr="00817985">
        <w:t xml:space="preserve">lungsschlüssels auf die beiden Bilanzierungsumlagekonten zu verteilen. </w:t>
      </w:r>
    </w:p>
    <w:p w:rsidR="006F5CBD" w:rsidRDefault="006F5CBD" w:rsidP="006F5CBD">
      <w:pPr>
        <w:pStyle w:val="BulletPGL2"/>
        <w:numPr>
          <w:ilvl w:val="0"/>
          <w:numId w:val="96"/>
        </w:numPr>
      </w:pPr>
      <w:r w:rsidRPr="00817985">
        <w:t>Sonstige Kosten oder Erlöse, die im Rahmen der Bilanzierungstätigkeiten des Marktg</w:t>
      </w:r>
      <w:r w:rsidRPr="00817985">
        <w:t>e</w:t>
      </w:r>
      <w:r w:rsidRPr="00817985">
        <w:t>bietsverantwortlichen entstehen, werden verursachungsgerecht dem jeweiligen Bila</w:t>
      </w:r>
      <w:r w:rsidRPr="00817985">
        <w:t>n</w:t>
      </w:r>
      <w:r w:rsidRPr="00817985">
        <w:t>zierungsumlagekonto zugeordnet. Ist dem Marktgebietsverantwortlichen eine verurs</w:t>
      </w:r>
      <w:r w:rsidRPr="00817985">
        <w:t>a</w:t>
      </w:r>
      <w:r w:rsidRPr="00817985">
        <w:t>chungsgerechte Aufteilung der sonstigen Kosten oder Erlöse nicht unmittelbar möglich, wird der jährliche Verteilungsschlüssel angewendet.</w:t>
      </w:r>
    </w:p>
    <w:p w:rsidR="006F5CBD" w:rsidRDefault="006F5CBD" w:rsidP="006F5CBD">
      <w:pPr>
        <w:pStyle w:val="BulletPGL2"/>
        <w:numPr>
          <w:ilvl w:val="0"/>
          <w:numId w:val="96"/>
        </w:numPr>
      </w:pPr>
      <w:r w:rsidRPr="00817985">
        <w:t>Die SLP Bilanzierungsumlage und die RLM Bilanzierungsumlage werden vom Marktg</w:t>
      </w:r>
      <w:r w:rsidRPr="00817985">
        <w:t>e</w:t>
      </w:r>
      <w:r w:rsidRPr="00817985">
        <w:t>bietsverantwortlichen separat für jede Umlageperiode nach folgender Systematik pr</w:t>
      </w:r>
      <w:r w:rsidRPr="00817985">
        <w:t>o</w:t>
      </w:r>
      <w:r w:rsidRPr="00817985">
        <w:t>gnostiziert:</w:t>
      </w:r>
    </w:p>
    <w:p w:rsidR="006F5CBD" w:rsidRPr="00817985" w:rsidRDefault="006F5CBD" w:rsidP="006F5CBD">
      <w:pPr>
        <w:pStyle w:val="BulletPGL2"/>
        <w:numPr>
          <w:ilvl w:val="0"/>
          <w:numId w:val="0"/>
        </w:numPr>
        <w:ind w:left="567"/>
      </w:pPr>
      <w:r w:rsidRPr="00817985">
        <w:t>Der Marktgebietsverantwortliche prognostiziert den Stand der Umlagekonten zum Ende der nächsten Umlageperiode ohne Einbeziehung der Bilanzierungsumlage für die nächste Umlageperiode (= Folgeperiode) und unter Berücksichtigung eines Liquidität</w:t>
      </w:r>
      <w:r w:rsidRPr="00817985">
        <w:t>s</w:t>
      </w:r>
      <w:r w:rsidRPr="00817985">
        <w:t>puffers. Fehlbeträge und Überschüsse des Umlagekontos werden korrigierend in der nächsten Periode berücksichtigt</w:t>
      </w:r>
      <w:r w:rsidR="00991A96">
        <w:t>.</w:t>
      </w:r>
    </w:p>
    <w:p w:rsidR="006F5CBD" w:rsidRPr="00817985" w:rsidRDefault="006F5CBD" w:rsidP="006F5CBD">
      <w:pPr>
        <w:pStyle w:val="BulletPGL2"/>
        <w:numPr>
          <w:ilvl w:val="0"/>
          <w:numId w:val="0"/>
        </w:numPr>
        <w:ind w:left="567"/>
      </w:pPr>
      <w:r w:rsidRPr="00817985">
        <w:t>Sofern die prognostizierten Kosten die prognostizierten Erlöse unter Berücksichtigung des Liquiditätspuffers übersteigen, erhebt der Marktgebietsverantwortliche unter Pr</w:t>
      </w:r>
      <w:r w:rsidRPr="00817985">
        <w:t>o</w:t>
      </w:r>
      <w:r w:rsidRPr="00817985">
        <w:t>gnose der jeweiligen bilanzrelevanten Ausspeisemengen eine Bilanzierungsumlage in Euro pro ausgespeister MWh. Bezogen auf das SLP-Umlagekonto sind alle SLP-Mengen als bilanzrelevante ausgespeiste Transportmenge anzusehen. Bezogen auf das RLM-Umlagekonto sind alle RLM-Mengen als bilanzrelevante ausgespeiste Tran</w:t>
      </w:r>
      <w:r w:rsidRPr="00817985">
        <w:t>s</w:t>
      </w:r>
      <w:r w:rsidRPr="00817985">
        <w:t>portmenge anzusehen.</w:t>
      </w:r>
    </w:p>
    <w:p w:rsidR="006F5CBD" w:rsidRPr="00817985" w:rsidRDefault="00991A96" w:rsidP="006F5CBD">
      <w:pPr>
        <w:pStyle w:val="BulletPGL2"/>
        <w:numPr>
          <w:ilvl w:val="0"/>
          <w:numId w:val="0"/>
        </w:numPr>
        <w:ind w:left="567"/>
      </w:pPr>
      <w:r>
        <w:t>D</w:t>
      </w:r>
      <w:r w:rsidR="006F5CBD" w:rsidRPr="00817985">
        <w:t>ie Umlageperiode für die Bilanzierungsumlage</w:t>
      </w:r>
      <w:r>
        <w:t>n</w:t>
      </w:r>
      <w:r w:rsidR="006F5CBD" w:rsidRPr="00817985">
        <w:t xml:space="preserve"> in beiden Marktgebieten </w:t>
      </w:r>
      <w:r>
        <w:t xml:space="preserve">erstreckt sich </w:t>
      </w:r>
      <w:r w:rsidR="006F5CBD" w:rsidRPr="00817985">
        <w:t>jeweils auf den Zeitraum eines Gaswirtschaftsjahres.</w:t>
      </w:r>
    </w:p>
    <w:p w:rsidR="006F5CBD" w:rsidRDefault="006F5CBD" w:rsidP="006F5CBD">
      <w:pPr>
        <w:pStyle w:val="BulletPGL2"/>
        <w:numPr>
          <w:ilvl w:val="0"/>
          <w:numId w:val="96"/>
        </w:numPr>
      </w:pPr>
      <w:r w:rsidRPr="00817985">
        <w:t>Wird in einer Umlageperiode ein Überschuss (=Überschussperiode) in dem SLP-Bilanzierungsumlagekonto erwirtschaftet, der unter Berücksichtigung des Liquiditätspu</w:t>
      </w:r>
      <w:r w:rsidRPr="00817985">
        <w:t>f</w:t>
      </w:r>
      <w:r w:rsidRPr="00817985">
        <w:t>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w:t>
      </w:r>
      <w:r w:rsidRPr="00817985">
        <w:t>h</w:t>
      </w:r>
      <w:r w:rsidRPr="00817985">
        <w:t>nen in der Überschussperiode geleisteten SLP-Bilanzierungsumlage. Sollten darüber hinaus Überschüsse bestehen, werden diese an alle Bilanzkreisverantwortliche in A</w:t>
      </w:r>
      <w:r w:rsidRPr="00817985">
        <w:t>b</w:t>
      </w:r>
      <w:r w:rsidRPr="00817985">
        <w:t>hängigkeit ihrer bilanzrelevanten SLP-Mengen aus der Überschussperiode ausgeschü</w:t>
      </w:r>
      <w:r w:rsidRPr="00817985">
        <w:t>t</w:t>
      </w:r>
      <w:r w:rsidRPr="00817985">
        <w:t>tet.</w:t>
      </w:r>
    </w:p>
    <w:p w:rsidR="006F5CBD" w:rsidRDefault="006F5CBD" w:rsidP="006F5CBD">
      <w:pPr>
        <w:pStyle w:val="BulletPGL2"/>
        <w:numPr>
          <w:ilvl w:val="0"/>
          <w:numId w:val="96"/>
        </w:numPr>
      </w:pPr>
      <w:r w:rsidRPr="00817985">
        <w:t>Wird in einer Umlageperiode ein Überschuss (=Überschussperiode) in dem RLM-Bilanzierungsumlagekonto erwirtschaftet, der unter Berücksichtigung eines Liquidität</w:t>
      </w:r>
      <w:r w:rsidRPr="00817985">
        <w:t>s</w:t>
      </w:r>
      <w:r w:rsidRPr="00817985">
        <w:t>puffers einen prognostizierten Fehlbetrag für die nächste Umlageperiode (= Folgeperi</w:t>
      </w:r>
      <w:r w:rsidRPr="00817985">
        <w:t>o</w:t>
      </w:r>
      <w:r w:rsidRPr="00817985">
        <w:t>de) übersteigt, ist diese Differenz in zwei Stufen durch den Marktgebietsverantwortl</w:t>
      </w:r>
      <w:r w:rsidRPr="00817985">
        <w:t>i</w:t>
      </w:r>
      <w:r w:rsidRPr="00817985">
        <w:t xml:space="preserve">chen für dieses Umlagekonto auszuschütten. Zunächst erfolgt eine Ausschüttung an die in der Überschussperiode tätigen Bilanzkreisverantwortlichen bis maximal in Höhe der von ihnen in der Überschussperiode geleisteten RLM-Bilanzierungsumlage. Sollten darüber hinaus Überschüsse bestehen, werden diese an alle Bilanzkreisverantwortliche in Abhängigkeit ihrer bilanzrelevanten RLM-Menge in </w:t>
      </w:r>
      <w:r w:rsidRPr="00B16C10">
        <w:t xml:space="preserve">der Überschussperiode </w:t>
      </w:r>
      <w:r w:rsidRPr="00B16C10">
        <w:rPr>
          <w:rFonts w:cs="Arial"/>
          <w:iCs/>
          <w:szCs w:val="22"/>
        </w:rPr>
        <w:t>unter B</w:t>
      </w:r>
      <w:r w:rsidRPr="00B16C10">
        <w:rPr>
          <w:rFonts w:cs="Arial"/>
          <w:iCs/>
          <w:szCs w:val="22"/>
        </w:rPr>
        <w:t>e</w:t>
      </w:r>
      <w:r w:rsidRPr="00B16C10">
        <w:rPr>
          <w:rFonts w:cs="Arial"/>
          <w:iCs/>
          <w:szCs w:val="22"/>
        </w:rPr>
        <w:t>rücksichtigung der Brennwertkorrektur</w:t>
      </w:r>
      <w:r w:rsidRPr="00586F5B">
        <w:rPr>
          <w:rFonts w:cs="Arial"/>
          <w:sz w:val="20"/>
          <w:szCs w:val="20"/>
        </w:rPr>
        <w:t xml:space="preserve"> </w:t>
      </w:r>
      <w:r w:rsidRPr="00817985">
        <w:t xml:space="preserve">ausgeschüttet. </w:t>
      </w:r>
    </w:p>
    <w:p w:rsidR="006F5CBD" w:rsidRDefault="006F5CBD" w:rsidP="006F5CBD">
      <w:pPr>
        <w:pStyle w:val="BulletPGL2"/>
        <w:numPr>
          <w:ilvl w:val="0"/>
          <w:numId w:val="96"/>
        </w:numPr>
      </w:pPr>
      <w:r w:rsidRPr="00817985">
        <w:t>Die Ermittlung der nach vorstehender Systematik an die Bilanzkreisverantwortlichen auszuschüttenden Beträge sowie die Durchführung der Ausschüttung erfolgen in der Folgeperiode unverzüglich nach Vorliegen aller für die Ausschüttung notwendigen fin</w:t>
      </w:r>
      <w:r w:rsidRPr="00817985">
        <w:t>a</w:t>
      </w:r>
      <w:r w:rsidRPr="00817985">
        <w:t>len Daten, d.h. nach Vorliegen der für die Bilanzkreisabrechnung relevanten SLP- und RLM-Daten des letzten Monats der Überschussperiode.</w:t>
      </w:r>
    </w:p>
    <w:p w:rsidR="00EE5ED5" w:rsidRDefault="0082475B" w:rsidP="0082475B">
      <w:pPr>
        <w:pStyle w:val="berschrift1"/>
      </w:pPr>
      <w:bookmarkStart w:id="35" w:name="_Toc476824420"/>
      <w:r>
        <w:t xml:space="preserve">§ </w:t>
      </w:r>
      <w:r w:rsidR="00434526">
        <w:t>17</w:t>
      </w:r>
      <w:r>
        <w:t xml:space="preserve"> </w:t>
      </w:r>
      <w:r w:rsidR="00AA7A87" w:rsidRPr="000776C6">
        <w:t>Verbindung von Bilanzkreisen</w:t>
      </w:r>
      <w:bookmarkEnd w:id="35"/>
    </w:p>
    <w:p w:rsidR="00AA7A87" w:rsidRPr="003F7C7B" w:rsidRDefault="00482204" w:rsidP="00817985">
      <w:pPr>
        <w:numPr>
          <w:ilvl w:val="0"/>
          <w:numId w:val="21"/>
        </w:numPr>
        <w:rPr>
          <w:rFonts w:cs="Arial"/>
          <w:szCs w:val="22"/>
        </w:rPr>
      </w:pPr>
      <w:r w:rsidRPr="00482204">
        <w:t>Innerhalb eines Marktgebietes können ein oder mehrere Bilanzkreisverantwortliche ihre Bilanzkreise verbinden und gegenüber dem Marktgebietsverantwortlichen erklären, dass entstehende Forderungen oder Verbindlichkeiten aus dem Vertrag des Marktg</w:t>
      </w:r>
      <w:r w:rsidRPr="00482204">
        <w:t>e</w:t>
      </w:r>
      <w:r w:rsidRPr="00482204">
        <w:t>bietsverantwortlichen nur noch gegenüber einem dieser Bilanzkreisverantwortlichen (B</w:t>
      </w:r>
      <w:r w:rsidRPr="00482204">
        <w:t>i</w:t>
      </w:r>
      <w:r w:rsidRPr="00482204">
        <w:t>lanzkreisverantwortlicher des Rechnungsbilanzkreises als benannter Bilanzkreisv</w:t>
      </w:r>
      <w:r w:rsidRPr="00482204">
        <w:t>e</w:t>
      </w:r>
      <w:r w:rsidRPr="00482204">
        <w:t>rantwortlicher) abgerechnet werden. Diese Erklärung bewirkt, dass die Bilanzkreisa</w:t>
      </w:r>
      <w:r w:rsidRPr="00482204">
        <w:t>b</w:t>
      </w:r>
      <w:r w:rsidRPr="00482204">
        <w:t>rechnungen wie folgt zusammengeführt werden:</w:t>
      </w:r>
    </w:p>
    <w:p w:rsidR="00AA7A87" w:rsidRPr="003F7C7B" w:rsidRDefault="00482204" w:rsidP="00817985">
      <w:pPr>
        <w:numPr>
          <w:ilvl w:val="0"/>
          <w:numId w:val="22"/>
        </w:numPr>
      </w:pPr>
      <w:r w:rsidRPr="00482204">
        <w:t xml:space="preserve">Die täglichen Differenzen zwischen ein- und ausgespeisten Gasmengen </w:t>
      </w:r>
      <w:r w:rsidR="001E1784">
        <w:t>(Au</w:t>
      </w:r>
      <w:r w:rsidR="001E1784">
        <w:t>s</w:t>
      </w:r>
      <w:r w:rsidR="001E1784">
        <w:t xml:space="preserve">gleichsenergie) </w:t>
      </w:r>
      <w:r w:rsidRPr="00482204">
        <w:t>eines jeden dieser Bilanzkreise werden miteinander in dem benan</w:t>
      </w:r>
      <w:r w:rsidRPr="00482204">
        <w:t>n</w:t>
      </w:r>
      <w:r w:rsidRPr="00482204">
        <w:t>ten Bilanzkreis saldiert und nur noch gegenüber dem benannten Bilanzkreisveran</w:t>
      </w:r>
      <w:r w:rsidRPr="00482204">
        <w:t>t</w:t>
      </w:r>
      <w:r w:rsidRPr="00482204">
        <w:t>wortlichen abgerechnet</w:t>
      </w:r>
      <w:r w:rsidR="00AA7A87" w:rsidRPr="003F7C7B">
        <w:t xml:space="preserve">. </w:t>
      </w:r>
    </w:p>
    <w:p w:rsidR="00AA7A87" w:rsidRPr="003F7C7B" w:rsidRDefault="00482204" w:rsidP="00817985">
      <w:pPr>
        <w:numPr>
          <w:ilvl w:val="0"/>
          <w:numId w:val="22"/>
        </w:numPr>
      </w:pPr>
      <w:r w:rsidRPr="00482204">
        <w:t xml:space="preserve">Die Abrechnung der jeweiligen </w:t>
      </w:r>
      <w:r w:rsidR="008C1D6D">
        <w:t>Bilanzierungs</w:t>
      </w:r>
      <w:r w:rsidR="00A75D3B">
        <w:t xml:space="preserve">umlage </w:t>
      </w:r>
      <w:r w:rsidR="00597D6B" w:rsidRPr="006B452E">
        <w:t>gemäß § </w:t>
      </w:r>
      <w:r w:rsidR="00A45CD9">
        <w:t>16</w:t>
      </w:r>
      <w:r w:rsidRPr="00482204">
        <w:t xml:space="preserve"> erfolgt, indem die Umlage jedes dieser Bilanzkreise ausschließlich gegenüber dem benannten Bilan</w:t>
      </w:r>
      <w:r w:rsidRPr="00482204">
        <w:t>z</w:t>
      </w:r>
      <w:r w:rsidRPr="00482204">
        <w:t>kreisverantwortlichen abgerechnet wird</w:t>
      </w:r>
      <w:r w:rsidR="00AA7A87" w:rsidRPr="003F7C7B">
        <w:t xml:space="preserve">. </w:t>
      </w:r>
    </w:p>
    <w:p w:rsidR="00AA7A87" w:rsidRDefault="00482204" w:rsidP="00817985">
      <w:pPr>
        <w:numPr>
          <w:ilvl w:val="0"/>
          <w:numId w:val="22"/>
        </w:numPr>
      </w:pPr>
      <w:r w:rsidRPr="00482204">
        <w:t xml:space="preserve">Die Abrechnung des </w:t>
      </w:r>
      <w:r w:rsidR="00A45CD9">
        <w:t xml:space="preserve">Flexibilitätskostenbeitrags </w:t>
      </w:r>
      <w:r w:rsidRPr="00482204">
        <w:t xml:space="preserve">gemäß </w:t>
      </w:r>
      <w:r w:rsidR="00597D6B" w:rsidRPr="00CE006C">
        <w:t>§ </w:t>
      </w:r>
      <w:r w:rsidR="00A45CD9">
        <w:t>6</w:t>
      </w:r>
      <w:r w:rsidRPr="00482204">
        <w:t xml:space="preserve"> erfolgt, indem die stündl</w:t>
      </w:r>
      <w:r w:rsidRPr="00482204">
        <w:t>i</w:t>
      </w:r>
      <w:r w:rsidRPr="00482204">
        <w:t xml:space="preserve">chen Abweichungen der einzelnen Bilanzkreise ermittelt, miteinander saldiert und gegenüber dem benannten Bilanzkreisverantwortlichen </w:t>
      </w:r>
      <w:r w:rsidR="00A45CD9" w:rsidRPr="0049444E">
        <w:t>– unter Berücksichtigung e</w:t>
      </w:r>
      <w:r w:rsidR="00A45CD9" w:rsidRPr="0049444E">
        <w:t>i</w:t>
      </w:r>
      <w:r w:rsidR="00A45CD9" w:rsidRPr="0049444E">
        <w:t xml:space="preserve">ner Toleranz für RLM-Entnahmestellen </w:t>
      </w:r>
      <w:r w:rsidR="00A45CD9">
        <w:t xml:space="preserve">– </w:t>
      </w:r>
      <w:r w:rsidRPr="00482204">
        <w:t>abgerechnet werden</w:t>
      </w:r>
      <w:r w:rsidR="00A45CD9" w:rsidRPr="0049444E">
        <w:t>, soweit durch einen gegenläufigen Regelenergieeinsatz Kosten für das Marktgebiet entstanden sind</w:t>
      </w:r>
      <w:r w:rsidRPr="00482204">
        <w:t>. Dabei wird die Summe aller anzuwendenden Toleranzen aus den einzelnen Bilan</w:t>
      </w:r>
      <w:r w:rsidRPr="00482204">
        <w:t>z</w:t>
      </w:r>
      <w:r w:rsidRPr="00482204">
        <w:t>kreisen auf das ermittelte Saldo angewendet</w:t>
      </w:r>
      <w:r w:rsidR="00AA7A87" w:rsidRPr="003F7C7B">
        <w:t xml:space="preserve">. </w:t>
      </w:r>
    </w:p>
    <w:p w:rsidR="00E71E2E" w:rsidRPr="003F7C7B" w:rsidRDefault="00E71E2E" w:rsidP="00817985">
      <w:pPr>
        <w:numPr>
          <w:ilvl w:val="0"/>
          <w:numId w:val="22"/>
        </w:numPr>
      </w:pPr>
      <w:r>
        <w:t xml:space="preserve">Die Abrechnung der </w:t>
      </w:r>
      <w:r w:rsidRPr="00CE006C">
        <w:t xml:space="preserve">Differenzmengen gemäß § </w:t>
      </w:r>
      <w:r w:rsidR="00A45CD9">
        <w:t>15</w:t>
      </w:r>
      <w:r w:rsidRPr="008C020B">
        <w:t xml:space="preserve"> </w:t>
      </w:r>
      <w:r>
        <w:t>erfolgt gegenüber dem benan</w:t>
      </w:r>
      <w:r>
        <w:t>n</w:t>
      </w:r>
      <w:r>
        <w:t>ten Bilanzkreisverantwortlichen.</w:t>
      </w:r>
    </w:p>
    <w:p w:rsidR="00AA7A87" w:rsidRPr="007F2C4C" w:rsidRDefault="00482204" w:rsidP="00817985">
      <w:pPr>
        <w:numPr>
          <w:ilvl w:val="0"/>
          <w:numId w:val="21"/>
        </w:numPr>
      </w:pPr>
      <w:r w:rsidRPr="00482204">
        <w:t>Soweit der Marktgebietsverantwortliche seine Forderung gegenüber dem benannten Bilanzkreisverantwortlichen nicht innerhalb von 2 Wochen nach Eintritt des Zahlung</w:t>
      </w:r>
      <w:r w:rsidRPr="00482204">
        <w:t>s</w:t>
      </w:r>
      <w:r w:rsidRPr="00482204">
        <w:t>verzugs realisieren kann, sind die anderen Bilanzkreisverantwortlichen in Höhe der auf ihren jeweiligen Bilanzkreis anfallenden Forderungen zur Zahlung verpflichtet</w:t>
      </w:r>
      <w:r w:rsidR="00AA7A87" w:rsidRPr="007F2C4C">
        <w:t>.</w:t>
      </w:r>
    </w:p>
    <w:p w:rsidR="00AA7A87" w:rsidRDefault="00482204" w:rsidP="00817985">
      <w:pPr>
        <w:numPr>
          <w:ilvl w:val="0"/>
          <w:numId w:val="21"/>
        </w:numPr>
      </w:pPr>
      <w:r w:rsidRPr="00482204">
        <w:t>Die weiteren Einzelheiten werden in einem gesonderten Vertrag (Vereinbarung über die Verbindung von Bilanzkreisen) mit einer Mindestlaufzeit von einem Kalendermonat zw</w:t>
      </w:r>
      <w:r w:rsidRPr="00482204">
        <w:t>i</w:t>
      </w:r>
      <w:r w:rsidRPr="00482204">
        <w:t>schen dem Marktgebietsverantwortlichen und den betroffenen Bilanzkreisverantwortl</w:t>
      </w:r>
      <w:r w:rsidRPr="00482204">
        <w:t>i</w:t>
      </w:r>
      <w:r w:rsidRPr="00482204">
        <w:t xml:space="preserve">chen geregelt. Eine Verbindung von qualitativ unterschiedlichen Bilanzkreisen </w:t>
      </w:r>
      <w:r w:rsidRPr="008773E9">
        <w:t xml:space="preserve">nach </w:t>
      </w:r>
      <w:r w:rsidR="00597D6B" w:rsidRPr="008773E9">
        <w:t xml:space="preserve">§ </w:t>
      </w:r>
      <w:r w:rsidR="00CD5E5D">
        <w:t>20</w:t>
      </w:r>
      <w:r w:rsidR="00CD5E5D" w:rsidRPr="008773E9">
        <w:t xml:space="preserve"> </w:t>
      </w:r>
      <w:r w:rsidR="00597D6B" w:rsidRPr="008773E9">
        <w:t>Ziffer 1</w:t>
      </w:r>
      <w:r w:rsidRPr="008773E9">
        <w:t xml:space="preserve"> erfolgt ebenso</w:t>
      </w:r>
      <w:r w:rsidRPr="00482204">
        <w:t xml:space="preserve"> in diesem gesonderten Vertrag (Vereinbarung über die Ve</w:t>
      </w:r>
      <w:r w:rsidRPr="00482204">
        <w:t>r</w:t>
      </w:r>
      <w:r w:rsidRPr="00482204">
        <w:t xml:space="preserve">bindung von Bilanzkreisen). Abweichend </w:t>
      </w:r>
      <w:r w:rsidR="003D6339">
        <w:t>von Satz 1</w:t>
      </w:r>
      <w:r w:rsidRPr="00482204">
        <w:t xml:space="preserve"> gilt für Biogas</w:t>
      </w:r>
      <w:r w:rsidR="002B4273">
        <w:t>-B</w:t>
      </w:r>
      <w:r w:rsidRPr="00482204">
        <w:t>ilanzkreise eine Mindestlaufzeit von einem Jahr</w:t>
      </w:r>
      <w:r w:rsidR="00AA7A87">
        <w:t>.</w:t>
      </w:r>
    </w:p>
    <w:p w:rsidR="00CE006C" w:rsidRDefault="0082475B" w:rsidP="0082475B">
      <w:pPr>
        <w:pStyle w:val="berschrift1"/>
      </w:pPr>
      <w:bookmarkStart w:id="36" w:name="_Toc476824421"/>
      <w:r>
        <w:t xml:space="preserve">§ </w:t>
      </w:r>
      <w:r w:rsidR="00434526">
        <w:t>18</w:t>
      </w:r>
      <w:r>
        <w:t xml:space="preserve"> </w:t>
      </w:r>
      <w:r w:rsidR="007935E6">
        <w:t xml:space="preserve">Qualitätsübergreifende Bilanzierung und </w:t>
      </w:r>
      <w:r w:rsidR="00CE1213" w:rsidRPr="007F2C4C">
        <w:t>Konvertierung</w:t>
      </w:r>
      <w:bookmarkEnd w:id="18"/>
      <w:bookmarkEnd w:id="36"/>
    </w:p>
    <w:p w:rsidR="00482204" w:rsidRDefault="00482204" w:rsidP="00FB43D6">
      <w:r w:rsidRPr="00B41AB6">
        <w:t>Alle von einem Bilanzkreisverantwortlichen in ei</w:t>
      </w:r>
      <w:r>
        <w:t>n Marktgebiet eingebrachten Gas</w:t>
      </w:r>
      <w:r w:rsidRPr="00B41AB6">
        <w:t>mengen werden qualitätsübergreifend bilanziert. Ergibt sich tagesscharf für einen Bilanzkreisveran</w:t>
      </w:r>
      <w:r w:rsidRPr="00B41AB6">
        <w:t>t</w:t>
      </w:r>
      <w:r w:rsidRPr="00B41AB6">
        <w:t>wortlichen eine Überspeisung in der einen und eine Unterspeisung in der anderen Gasqual</w:t>
      </w:r>
      <w:r w:rsidRPr="00B41AB6">
        <w:t>i</w:t>
      </w:r>
      <w:r w:rsidRPr="00B41AB6">
        <w:t>tät, so wird die kleinere der beiden Mengen vom Marktgebietsverantwortlichen bilanziell ko</w:t>
      </w:r>
      <w:r w:rsidRPr="00B41AB6">
        <w:t>n</w:t>
      </w:r>
      <w:r w:rsidRPr="00B41AB6">
        <w:t xml:space="preserve">vertiert. </w:t>
      </w:r>
      <w:r w:rsidR="004637A4">
        <w:t>Für die Konvertierungsrichtung H- nach L-Gas</w:t>
      </w:r>
      <w:r w:rsidRPr="00B41AB6">
        <w:t xml:space="preserve"> ist ein Konvertierungsentgelt </w:t>
      </w:r>
      <w:r w:rsidRPr="008773E9">
        <w:t xml:space="preserve">gemäß </w:t>
      </w:r>
      <w:r w:rsidR="00597D6B" w:rsidRPr="008773E9">
        <w:t xml:space="preserve">§ </w:t>
      </w:r>
      <w:r w:rsidR="00CD5E5D">
        <w:t>19</w:t>
      </w:r>
      <w:r w:rsidRPr="008773E9">
        <w:t xml:space="preserve"> zu</w:t>
      </w:r>
      <w:r w:rsidRPr="00B41AB6">
        <w:t xml:space="preserve"> entrichten. Das Konvertierungssystem dient der Erleichterung des qualitätsübergreife</w:t>
      </w:r>
      <w:r w:rsidRPr="00B41AB6">
        <w:t>n</w:t>
      </w:r>
      <w:r w:rsidRPr="00B41AB6">
        <w:t>den Gashandels. Eine Nutzung des Konvertierungssystems zum Zwecke der Herbeiführung von Regelenergiebedarf ist nicht gestattet</w:t>
      </w:r>
      <w:r w:rsidR="00CD5E5D">
        <w:t>.</w:t>
      </w:r>
    </w:p>
    <w:p w:rsidR="00CE006C" w:rsidRDefault="0082475B" w:rsidP="0082475B">
      <w:pPr>
        <w:pStyle w:val="berschrift1"/>
      </w:pPr>
      <w:bookmarkStart w:id="37" w:name="_Toc297207916"/>
      <w:bookmarkStart w:id="38" w:name="_Toc476824422"/>
      <w:r>
        <w:t xml:space="preserve">§ </w:t>
      </w:r>
      <w:r w:rsidR="00434526">
        <w:t>19</w:t>
      </w:r>
      <w:r>
        <w:t xml:space="preserve"> </w:t>
      </w:r>
      <w:r w:rsidR="00CE1213" w:rsidRPr="007F2C4C">
        <w:t>Konvertierungsentgelt</w:t>
      </w:r>
      <w:bookmarkEnd w:id="37"/>
      <w:r w:rsidR="007935E6">
        <w:t xml:space="preserve"> und Konvertierungsumlage</w:t>
      </w:r>
      <w:bookmarkEnd w:id="38"/>
    </w:p>
    <w:p w:rsidR="00CE006C" w:rsidRDefault="00B41AB6" w:rsidP="00817985">
      <w:pPr>
        <w:numPr>
          <w:ilvl w:val="0"/>
          <w:numId w:val="83"/>
        </w:numPr>
        <w:tabs>
          <w:tab w:val="clear" w:pos="360"/>
        </w:tabs>
        <w:ind w:left="567" w:hanging="567"/>
      </w:pPr>
      <w:r>
        <w:t>Der Marktgebietsverantwortliche erhebt von dem Bilanzkreisverantwortlichen, soweit für diesen innerhalb des Marktgebietes qualitätsübergreifend Gasmengen bilanziert we</w:t>
      </w:r>
      <w:r>
        <w:t>r</w:t>
      </w:r>
      <w:r>
        <w:t xml:space="preserve">den, ein Konvertierungsentgelt </w:t>
      </w:r>
      <w:r w:rsidR="004637A4">
        <w:t xml:space="preserve">für die Konvertierungsrichtung H- nach L-Gas </w:t>
      </w:r>
      <w:r>
        <w:t xml:space="preserve">in </w:t>
      </w:r>
      <w:r w:rsidR="00BC7A4E">
        <w:t xml:space="preserve">EUR </w:t>
      </w:r>
      <w:r>
        <w:t xml:space="preserve">pro </w:t>
      </w:r>
      <w:r w:rsidR="00BC7A4E">
        <w:t>M</w:t>
      </w:r>
      <w:r>
        <w:t>Wh qualitätsübergreifend bilanzierte Gasmenge. Zu diesem Zweck werden alle in einem qualitätsübergreifenden Marktgebiet auf den Bilanzkreisverantwortlichen entfa</w:t>
      </w:r>
      <w:r>
        <w:t>l</w:t>
      </w:r>
      <w:r>
        <w:t>lenden H- und L-Gasmengen für die Berechnung des zu zahlenden Konvertierungsen</w:t>
      </w:r>
      <w:r>
        <w:t>t</w:t>
      </w:r>
      <w:r>
        <w:t xml:space="preserve">gelts gemäß </w:t>
      </w:r>
      <w:r w:rsidR="00597D6B" w:rsidRPr="008773E9">
        <w:t xml:space="preserve">§ </w:t>
      </w:r>
      <w:r w:rsidR="001C088B">
        <w:t>20</w:t>
      </w:r>
      <w:r w:rsidRPr="008773E9">
        <w:t xml:space="preserve"> berücksichtigt</w:t>
      </w:r>
      <w:r>
        <w:t>. Darüber hinaus erhebt der Marktgebietsverantwortl</w:t>
      </w:r>
      <w:r>
        <w:t>i</w:t>
      </w:r>
      <w:r>
        <w:t xml:space="preserve">che vom Bilanzkreisverantwortlichen eine </w:t>
      </w:r>
      <w:r w:rsidRPr="008773E9">
        <w:t xml:space="preserve">nach </w:t>
      </w:r>
      <w:r w:rsidR="00597D6B" w:rsidRPr="008773E9">
        <w:t xml:space="preserve">§ </w:t>
      </w:r>
      <w:r w:rsidR="00E66E70">
        <w:t>2</w:t>
      </w:r>
      <w:r w:rsidR="00D95DB8">
        <w:t>2</w:t>
      </w:r>
      <w:r w:rsidRPr="008773E9">
        <w:t xml:space="preserve"> bestimmte Konvertierungsumlage, wenn erwartet wird, dass die Kosten der Konvertierung</w:t>
      </w:r>
      <w:r>
        <w:t xml:space="preserve"> die aus dem Konvertierung</w:t>
      </w:r>
      <w:r>
        <w:t>s</w:t>
      </w:r>
      <w:r>
        <w:t xml:space="preserve">entgelt erzielbaren Erlöse </w:t>
      </w:r>
      <w:r w:rsidR="000A5BA9">
        <w:t xml:space="preserve">unter Berücksichtigung eines Liquiditätspuffers </w:t>
      </w:r>
      <w:r>
        <w:t>übersteigen bzw. wenn Residualkosten aus vorhergehenden Geltungszeit</w:t>
      </w:r>
      <w:r w:rsidR="002D7281">
        <w:t>räumen vorliegen.</w:t>
      </w:r>
    </w:p>
    <w:p w:rsidR="00CE006C" w:rsidRDefault="00B41AB6" w:rsidP="00817985">
      <w:pPr>
        <w:numPr>
          <w:ilvl w:val="0"/>
          <w:numId w:val="83"/>
        </w:numPr>
        <w:tabs>
          <w:tab w:val="clear" w:pos="360"/>
        </w:tabs>
        <w:ind w:left="567" w:hanging="567"/>
      </w:pPr>
      <w:r>
        <w:t xml:space="preserve">Das Konvertierungsentgelt und die Konvertierungsumlage sind so bemessen, dass </w:t>
      </w:r>
      <w:r w:rsidR="000A5BA9">
        <w:t xml:space="preserve">sie der effizienten Deckung der </w:t>
      </w:r>
      <w:r>
        <w:t xml:space="preserve">prognostizierten  Kosten für die Konvertierung </w:t>
      </w:r>
      <w:r w:rsidR="000A5BA9">
        <w:t xml:space="preserve">dienen und </w:t>
      </w:r>
      <w:r>
        <w:t>möglichst ergebnisneutral</w:t>
      </w:r>
      <w:r w:rsidR="000A5BA9">
        <w:t xml:space="preserve"> unter Berücksichtigung eines Liquiditätspuffers wirken</w:t>
      </w:r>
      <w:r>
        <w:t>. W</w:t>
      </w:r>
      <w:r>
        <w:t>e</w:t>
      </w:r>
      <w:r>
        <w:t>der beim Marktgebietsverantwortlichen noch bei Netzbetreibern verbleiben dauerhaft Kosten oder Erlöse aus dem System. Stehen mehrere Maßnahmen zur Konvertierung zur Verfügung, so wählt der Marktgebietsverantwortliche zur Minimierung der Konverti</w:t>
      </w:r>
      <w:r>
        <w:t>e</w:t>
      </w:r>
      <w:r>
        <w:t>rungskosten die kostengünstigste Maßnahme aus.</w:t>
      </w:r>
    </w:p>
    <w:p w:rsidR="00CE006C" w:rsidRDefault="00B41AB6" w:rsidP="00817985">
      <w:pPr>
        <w:numPr>
          <w:ilvl w:val="0"/>
          <w:numId w:val="83"/>
        </w:numPr>
        <w:tabs>
          <w:tab w:val="clear" w:pos="360"/>
        </w:tabs>
        <w:ind w:left="567" w:hanging="567"/>
      </w:pPr>
      <w:r>
        <w:t>Konvertierungsentgelt und Konvertierungsumlage werden vom Marktgebietsverantwor</w:t>
      </w:r>
      <w:r>
        <w:t>t</w:t>
      </w:r>
      <w:r>
        <w:t>lichen auf Grundlage der durch ein geeignetes Prognoseverfahren ermittelten vorau</w:t>
      </w:r>
      <w:r>
        <w:t>s</w:t>
      </w:r>
      <w:r>
        <w:t>sichtlichen Konvertierungskosten im Geltungszeitraum festgesetzt. Für die Mengenpr</w:t>
      </w:r>
      <w:r>
        <w:t>o</w:t>
      </w:r>
      <w:r>
        <w:t>gnose werden die voraussichtlich im Geltungszeitraum zukünftig anfallenden Konverti</w:t>
      </w:r>
      <w:r>
        <w:t>e</w:t>
      </w:r>
      <w:r>
        <w:t>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w:t>
      </w:r>
      <w:r>
        <w:t>e</w:t>
      </w:r>
      <w:r>
        <w:t>rücksichtigen.</w:t>
      </w:r>
      <w:r w:rsidR="000A5BA9">
        <w:t xml:space="preserve"> Darüber hinaus darf der Marktgebietsverantwortliche bei der Ermittlung der Konvertierungsumlage einen Liquiditätspuffer ansetzen.</w:t>
      </w:r>
    </w:p>
    <w:p w:rsidR="00827BD1" w:rsidRDefault="0082475B" w:rsidP="0082475B">
      <w:pPr>
        <w:pStyle w:val="berschrift1"/>
      </w:pPr>
      <w:bookmarkStart w:id="39" w:name="_Toc476824423"/>
      <w:r>
        <w:t xml:space="preserve">§ </w:t>
      </w:r>
      <w:r w:rsidR="00434526">
        <w:t>20</w:t>
      </w:r>
      <w:r>
        <w:t xml:space="preserve"> </w:t>
      </w:r>
      <w:r w:rsidR="007935E6">
        <w:t>Ermittlung der abzurechnenden Konvertierungsmenge</w:t>
      </w:r>
      <w:bookmarkEnd w:id="39"/>
    </w:p>
    <w:p w:rsidR="00CE006C" w:rsidRDefault="00B41AB6" w:rsidP="00817985">
      <w:pPr>
        <w:pStyle w:val="BulletPGL2"/>
        <w:numPr>
          <w:ilvl w:val="0"/>
          <w:numId w:val="74"/>
        </w:numPr>
      </w:pPr>
      <w:r>
        <w:t xml:space="preserve">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 </w:t>
      </w:r>
    </w:p>
    <w:p w:rsidR="00E66E70" w:rsidRDefault="00B41AB6" w:rsidP="00817985">
      <w:pPr>
        <w:pStyle w:val="BulletPGL2"/>
        <w:numPr>
          <w:ilvl w:val="0"/>
          <w:numId w:val="74"/>
        </w:numPr>
      </w:pPr>
      <w:r>
        <w:t>Zur Bestimmung der auf einen Bilanzkreisverantwortlichen entfallenden Konverti</w:t>
      </w:r>
      <w:r>
        <w:t>e</w:t>
      </w:r>
      <w:r>
        <w:t>rungsmengen werden die täglich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w:t>
      </w:r>
      <w:r>
        <w:t>n</w:t>
      </w:r>
      <w:r>
        <w:t xml:space="preserve">gen berücksichtigt. </w:t>
      </w:r>
      <w:r w:rsidR="00E66E70">
        <w:t xml:space="preserve">Basis sind die </w:t>
      </w:r>
      <w:r w:rsidR="00E66E70" w:rsidRPr="007E3C58">
        <w:t>bis zum Zeitpunkt M+2</w:t>
      </w:r>
      <w:r w:rsidR="0004309E">
        <w:t xml:space="preserve"> </w:t>
      </w:r>
      <w:r w:rsidR="00E66E70" w:rsidRPr="007E3C58">
        <w:t>M</w:t>
      </w:r>
      <w:r w:rsidR="0004309E">
        <w:t xml:space="preserve">onate </w:t>
      </w:r>
      <w:r w:rsidR="00F73500">
        <w:t>-</w:t>
      </w:r>
      <w:r w:rsidR="0004309E">
        <w:t xml:space="preserve"> </w:t>
      </w:r>
      <w:r w:rsidR="00E66E70" w:rsidRPr="007E3C58">
        <w:t>10 Werktage vorli</w:t>
      </w:r>
      <w:r w:rsidR="00E66E70" w:rsidRPr="007E3C58">
        <w:t>e</w:t>
      </w:r>
      <w:r w:rsidR="00E66E70" w:rsidRPr="007E3C58">
        <w:t>genden Allokationswerte</w:t>
      </w:r>
      <w:r w:rsidR="00E66E70">
        <w:t>.</w:t>
      </w:r>
      <w:r w:rsidR="00E66E70" w:rsidRPr="007E3C58">
        <w:t xml:space="preserve"> Nachfolgende Änderungen bleiben hierfür unberücksichtigt.</w:t>
      </w:r>
      <w:r w:rsidR="00810676">
        <w:t xml:space="preserve"> Das Konvertierungsentgelt wird in Bezug auf RLM-Ausspeisepunkte eines Bilanzkreises unter Berücksichtigung der Brennwertkorrektur erhoben.</w:t>
      </w:r>
    </w:p>
    <w:p w:rsidR="00CE006C" w:rsidRDefault="00B41AB6" w:rsidP="00817985">
      <w:pPr>
        <w:pStyle w:val="BulletPGL2"/>
        <w:numPr>
          <w:ilvl w:val="0"/>
          <w:numId w:val="74"/>
        </w:numPr>
      </w:pPr>
      <w:r>
        <w:t xml:space="preserve">Ergibt sich dabei eine Überdeckung in der </w:t>
      </w:r>
      <w:r w:rsidR="000A5BA9">
        <w:t xml:space="preserve">Gasqualität H-Gas </w:t>
      </w:r>
      <w:r>
        <w:t>und eine Unterdeckung in der Gasqualität</w:t>
      </w:r>
      <w:r w:rsidR="000A5BA9">
        <w:t xml:space="preserve"> L-Gas</w:t>
      </w:r>
      <w:r>
        <w:t>, erhebt der Marktgebietsverantwortliche von dem Bilanzkreisv</w:t>
      </w:r>
      <w:r>
        <w:t>e</w:t>
      </w:r>
      <w:r>
        <w:t xml:space="preserve">rantwortlichen auf den kleineren Betrag der beiden Mengen ein Konvertierungsentgelt in </w:t>
      </w:r>
      <w:r w:rsidR="00BC7A4E">
        <w:t xml:space="preserve">EUR </w:t>
      </w:r>
      <w:r>
        <w:t xml:space="preserve">pro </w:t>
      </w:r>
      <w:r w:rsidR="00BC7A4E">
        <w:t>M</w:t>
      </w:r>
      <w:r>
        <w:t>Wh. Die Abrechnung des Konvertierungsentgelts erfolgt auf der Grundl</w:t>
      </w:r>
      <w:r>
        <w:t>a</w:t>
      </w:r>
      <w:r>
        <w:t>ge der endgültigen, auch für die Bilanzkreisabrechnung zugrunde gelegten Bilanzwerte.</w:t>
      </w:r>
    </w:p>
    <w:p w:rsidR="00C6426A" w:rsidRDefault="00C6426A">
      <w:pPr>
        <w:pStyle w:val="BulletPGL2"/>
        <w:numPr>
          <w:ilvl w:val="0"/>
          <w:numId w:val="0"/>
        </w:numPr>
        <w:ind w:left="567"/>
      </w:pPr>
    </w:p>
    <w:p w:rsidR="00CE006C" w:rsidRDefault="0082475B" w:rsidP="0082475B">
      <w:pPr>
        <w:pStyle w:val="berschrift1"/>
      </w:pPr>
      <w:bookmarkStart w:id="40" w:name="_Toc476824424"/>
      <w:r>
        <w:t xml:space="preserve">§ </w:t>
      </w:r>
      <w:r w:rsidR="00434526">
        <w:t>21</w:t>
      </w:r>
      <w:r>
        <w:t xml:space="preserve"> </w:t>
      </w:r>
      <w:r w:rsidR="007935E6">
        <w:t>Konvertierungsentgelt</w:t>
      </w:r>
      <w:bookmarkEnd w:id="40"/>
    </w:p>
    <w:p w:rsidR="00C6426A" w:rsidRDefault="006E4A28">
      <w:pPr>
        <w:ind w:left="567"/>
      </w:pPr>
      <w:r>
        <w:t>Das Konvertierungsentgelt ist so zu bemessen, dass</w:t>
      </w:r>
      <w:r w:rsidR="00142B85">
        <w:t xml:space="preserve"> zum einen der Markt einen ausre</w:t>
      </w:r>
      <w:r w:rsidR="00142B85">
        <w:t>i</w:t>
      </w:r>
      <w:r w:rsidR="00142B85">
        <w:t>chenden Anreiz zum qualitätsübergreifenden Gashandel hat und zum anderen der Marktgebietsverantwortliche nicht zum überwiegenden Beschaffer der physischen A</w:t>
      </w:r>
      <w:r w:rsidR="00142B85">
        <w:t>b</w:t>
      </w:r>
      <w:r w:rsidR="00142B85">
        <w:t>satzmengen von L-Gas Letztverbrauchern im Marktgebiet wird</w:t>
      </w:r>
      <w:r>
        <w:t xml:space="preserve">. Es ist jedoch der Höhe nach begrenzt (Obergrenze). Die Obergrenze </w:t>
      </w:r>
      <w:r w:rsidR="00142B85">
        <w:t xml:space="preserve">des Konvertierungsentgelts </w:t>
      </w:r>
      <w:r>
        <w:t>beträgt</w:t>
      </w:r>
      <w:r w:rsidR="00BB6F4E">
        <w:t xml:space="preserve"> 0,45 </w:t>
      </w:r>
      <w:r w:rsidR="0067032E">
        <w:t>EUR/M</w:t>
      </w:r>
      <w:r w:rsidR="00BB6F4E">
        <w:t>Wh</w:t>
      </w:r>
      <w:r>
        <w:t xml:space="preserve">. </w:t>
      </w:r>
    </w:p>
    <w:p w:rsidR="00C6426A" w:rsidRDefault="00C6426A">
      <w:pPr>
        <w:ind w:left="567"/>
      </w:pPr>
    </w:p>
    <w:p w:rsidR="00232620" w:rsidRDefault="0082475B" w:rsidP="0082475B">
      <w:pPr>
        <w:pStyle w:val="berschrift1"/>
      </w:pPr>
      <w:bookmarkStart w:id="41" w:name="_Toc476824425"/>
      <w:r>
        <w:t xml:space="preserve">§ </w:t>
      </w:r>
      <w:r w:rsidR="007A07C4">
        <w:t>2</w:t>
      </w:r>
      <w:r w:rsidR="0067032E">
        <w:t>2</w:t>
      </w:r>
      <w:r>
        <w:t xml:space="preserve"> </w:t>
      </w:r>
      <w:r w:rsidR="007935E6">
        <w:t>Konvertierungsumlage</w:t>
      </w:r>
      <w:bookmarkEnd w:id="41"/>
    </w:p>
    <w:p w:rsidR="00232620" w:rsidRDefault="00CD2C97" w:rsidP="00817985">
      <w:pPr>
        <w:numPr>
          <w:ilvl w:val="0"/>
          <w:numId w:val="77"/>
        </w:numPr>
      </w:pPr>
      <w:r>
        <w:t xml:space="preserve">Die Konvertierungsumlage wird in </w:t>
      </w:r>
      <w:r w:rsidR="00BC7A4E">
        <w:t>EUR</w:t>
      </w:r>
      <w:r>
        <w:t xml:space="preserve"> pro </w:t>
      </w:r>
      <w:r w:rsidR="00BC7A4E">
        <w:t>M</w:t>
      </w:r>
      <w:r>
        <w:t>Wh auf alle täglich in einen Bilanzkreis eingebrachten physischen Einspeisemengen erhoben. Maßgeblich für die Ermittlung der physischen Einspeisung ist die tägliche Allokation in der Form, die sie ggf. nach e</w:t>
      </w:r>
      <w:r>
        <w:t>i</w:t>
      </w:r>
      <w:r>
        <w:t>ner Renominierung erhalten hat. Virtuelle Einspeisungen in einen Bilanzkreis aufgrund von Handelsgeschäften sind von der Konvertierungsumlage ausgenommen. Auf phys</w:t>
      </w:r>
      <w:r>
        <w:t>i</w:t>
      </w:r>
      <w:r>
        <w:t>sche Einspeisungen, für die beschränkt zuordenbare Kapazitäten genutzt werden, wird die Umlage nur dann erhoben, wenn die Ausspeisung an einem Ausspeisepunkt einer anderen Gasqualität erfolgt.</w:t>
      </w:r>
    </w:p>
    <w:p w:rsidR="00232620" w:rsidRDefault="00CD2C97" w:rsidP="00817985">
      <w:pPr>
        <w:numPr>
          <w:ilvl w:val="0"/>
          <w:numId w:val="77"/>
        </w:numPr>
      </w:pPr>
      <w:r>
        <w:t xml:space="preserve">Die Konvertierungsumlage dient neben dem Konvertierungsentgelt dazu, die effizienten Kosten der </w:t>
      </w:r>
      <w:r w:rsidR="00BB6D52">
        <w:t xml:space="preserve">kommerziellen und technischen </w:t>
      </w:r>
      <w:r>
        <w:t>Konvertierung zu decken. In die Beme</w:t>
      </w:r>
      <w:r>
        <w:t>s</w:t>
      </w:r>
      <w:r>
        <w:t>sung der Konvertierungsumlage fließen zum einen die für den Geltungszeitraum pr</w:t>
      </w:r>
      <w:r>
        <w:t>o</w:t>
      </w:r>
      <w:r>
        <w:t>gnostizierten Kosten der Konvertierung ein, soweit diese nicht durch das Konverti</w:t>
      </w:r>
      <w:r>
        <w:t>e</w:t>
      </w:r>
      <w:r>
        <w:t xml:space="preserve">rungsentgelt gedeckt werden. Zum anderen werden die nach § </w:t>
      </w:r>
      <w:r w:rsidR="003C1BA6">
        <w:t>2</w:t>
      </w:r>
      <w:r w:rsidR="00D333C1">
        <w:t>4</w:t>
      </w:r>
      <w:r>
        <w:t xml:space="preserve"> ermittelten Diff</w:t>
      </w:r>
      <w:r>
        <w:t>e</w:t>
      </w:r>
      <w:r>
        <w:t xml:space="preserve">renzbeträge </w:t>
      </w:r>
      <w:r w:rsidR="00BB6D52">
        <w:t xml:space="preserve">sowie ein Liquiditätspuffer </w:t>
      </w:r>
      <w:r>
        <w:t xml:space="preserve">korrigierend in den nächsten Prognosen der Konvertierungsumlage berücksichtigt. </w:t>
      </w:r>
    </w:p>
    <w:p w:rsidR="00232620" w:rsidRDefault="00BA0B35" w:rsidP="00817985">
      <w:pPr>
        <w:numPr>
          <w:ilvl w:val="0"/>
          <w:numId w:val="77"/>
        </w:numPr>
      </w:pPr>
      <w:r>
        <w:t xml:space="preserve">Werden Kapazitäten in einen Bilanzkreis </w:t>
      </w:r>
      <w:r w:rsidR="001D7F7F">
        <w:t>mit</w:t>
      </w:r>
      <w:r>
        <w:t xml:space="preserve"> </w:t>
      </w:r>
      <w:r w:rsidR="001D7F7F">
        <w:t>Status</w:t>
      </w:r>
      <w:r>
        <w:t xml:space="preserve"> „beschränkt zuordenbar“ eing</w:t>
      </w:r>
      <w:r>
        <w:t>e</w:t>
      </w:r>
      <w:r>
        <w:t>bracht, sind die zugehörigen allokierten Einspeisemengen von der Konvertierungsu</w:t>
      </w:r>
      <w:r>
        <w:t>m</w:t>
      </w:r>
      <w:r>
        <w:t xml:space="preserve">lage befreit. </w:t>
      </w:r>
    </w:p>
    <w:p w:rsidR="00EE5ED5" w:rsidRDefault="0082475B" w:rsidP="0082475B">
      <w:pPr>
        <w:pStyle w:val="berschrift1"/>
      </w:pPr>
      <w:bookmarkStart w:id="42" w:name="_Toc476824426"/>
      <w:r>
        <w:t xml:space="preserve">§ </w:t>
      </w:r>
      <w:r w:rsidR="007A07C4">
        <w:t>2</w:t>
      </w:r>
      <w:r w:rsidR="00D333C1">
        <w:t>3</w:t>
      </w:r>
      <w:r>
        <w:t xml:space="preserve"> </w:t>
      </w:r>
      <w:r w:rsidR="007935E6">
        <w:t>Geltungsrahmen für Konvertierungsentgelt und Konvertierungsumlage</w:t>
      </w:r>
      <w:bookmarkEnd w:id="42"/>
    </w:p>
    <w:p w:rsidR="00EE5ED5" w:rsidRDefault="006F06F9" w:rsidP="00817985">
      <w:pPr>
        <w:numPr>
          <w:ilvl w:val="0"/>
          <w:numId w:val="78"/>
        </w:numPr>
      </w:pPr>
      <w:r>
        <w:t xml:space="preserve">Das Konvertierungsentgelt </w:t>
      </w:r>
      <w:r w:rsidR="00BB6D52">
        <w:t xml:space="preserve">in Richtung H- nach L-Gas </w:t>
      </w:r>
      <w:r>
        <w:t xml:space="preserve">und die Konvertierungsumlage werden </w:t>
      </w:r>
      <w:r w:rsidR="00797C01">
        <w:t>für den ersten Geltungszeitraum vom 1. April bis 30. September 2017 und d</w:t>
      </w:r>
      <w:r w:rsidR="00797C01">
        <w:t>a</w:t>
      </w:r>
      <w:r w:rsidR="00797C01">
        <w:t xml:space="preserve">nach </w:t>
      </w:r>
      <w:r>
        <w:t xml:space="preserve">jeweils für einen Zeitraum von </w:t>
      </w:r>
      <w:r w:rsidR="00797C01">
        <w:t>zwölf</w:t>
      </w:r>
      <w:r>
        <w:t xml:space="preserve"> Monaten, stets zum 1. </w:t>
      </w:r>
      <w:r w:rsidR="00797C01">
        <w:t>Oktober</w:t>
      </w:r>
      <w:r>
        <w:t xml:space="preserve"> eines Kale</w:t>
      </w:r>
      <w:r>
        <w:t>n</w:t>
      </w:r>
      <w:r>
        <w:t>derjahres beginnend, von dem Marktgebietsverantwortlichen festgesetzt und veröffen</w:t>
      </w:r>
      <w:r>
        <w:t>t</w:t>
      </w:r>
      <w:r>
        <w:t xml:space="preserve">licht. </w:t>
      </w:r>
    </w:p>
    <w:p w:rsidR="00EE5ED5" w:rsidRDefault="006F06F9" w:rsidP="00817985">
      <w:pPr>
        <w:numPr>
          <w:ilvl w:val="0"/>
          <w:numId w:val="78"/>
        </w:numPr>
      </w:pPr>
      <w:r>
        <w:t>Innerhalb des Geltungszeitraums darf der Marktgebietsverantwortliche nur au</w:t>
      </w:r>
      <w:r>
        <w:t>s</w:t>
      </w:r>
      <w:r>
        <w:t xml:space="preserve">nahmsweise das Konvertierungsentgelt erhöhen und dabei auch die Obergrenze </w:t>
      </w:r>
      <w:r w:rsidR="00797C01">
        <w:t xml:space="preserve">nach § 21 </w:t>
      </w:r>
      <w:r>
        <w:t>überschreiten, wenn dies unvorhersehbare Umstände zwingend erforderlich m</w:t>
      </w:r>
      <w:r>
        <w:t>a</w:t>
      </w:r>
      <w:r>
        <w:t xml:space="preserve">chen. </w:t>
      </w:r>
      <w:r w:rsidR="00797C01">
        <w:t>Der Marktgebietsverantwortliche hat die beabsichtigte Anpassung des Konverti</w:t>
      </w:r>
      <w:r w:rsidR="00797C01">
        <w:t>e</w:t>
      </w:r>
      <w:r w:rsidR="00797C01">
        <w:t>rungsentgelts gegenüber der Beschlusskammer 7 der Bundesnetzagentur rechtzeitig, spätestens aber zwei Wochen vor der beabsichtigten Anpassung mindestens unter A</w:t>
      </w:r>
      <w:r w:rsidR="00797C01">
        <w:t>n</w:t>
      </w:r>
      <w:r w:rsidR="00797C01">
        <w:t xml:space="preserve">gabe der Gründe, des voraussichtlichen Geltungszeitraums, des beabsichtigten </w:t>
      </w:r>
      <w:r w:rsidR="00C469D4">
        <w:t>Datums des Inkrafttretens sowie der beabsichtigten Entgelthöhe zur Genehmigung vorzulegen. Die Beschlusskammer kann die vom Marktgebietsverantwortlichen vorgeschlagene A</w:t>
      </w:r>
      <w:r w:rsidR="00C469D4">
        <w:t>n</w:t>
      </w:r>
      <w:r w:rsidR="00C469D4">
        <w:t xml:space="preserve">passung des Konvertierungsentgelts sowohl in der Höhe als auch bezogen auf den Geltungszeitraum ganz oder teilweise genehmigen. </w:t>
      </w:r>
    </w:p>
    <w:p w:rsidR="00EE5ED5" w:rsidRDefault="006F06F9" w:rsidP="00817985">
      <w:pPr>
        <w:numPr>
          <w:ilvl w:val="0"/>
          <w:numId w:val="78"/>
        </w:numPr>
      </w:pPr>
      <w:r>
        <w:t>Der Marktgebietsverantwortliche übermittelt dem Bilanzkreisverantwortlichen alle Info</w:t>
      </w:r>
      <w:r>
        <w:t>r</w:t>
      </w:r>
      <w:r>
        <w:t>mationen, die zur Prüfung der Abrechnung der Konvertierung erforderlich sind. Die Übermittlung der Abrechnungsinformationen erfolgt in einem für die elektronische Bea</w:t>
      </w:r>
      <w:r>
        <w:t>r</w:t>
      </w:r>
      <w:r>
        <w:t>beitung durch Standardsoftware nutzbaren Format.</w:t>
      </w:r>
    </w:p>
    <w:p w:rsidR="00EE5ED5" w:rsidRDefault="0082475B" w:rsidP="0082475B">
      <w:pPr>
        <w:pStyle w:val="berschrift1"/>
      </w:pPr>
      <w:bookmarkStart w:id="43" w:name="_Toc476824427"/>
      <w:r>
        <w:t xml:space="preserve">§ </w:t>
      </w:r>
      <w:r w:rsidR="007A07C4">
        <w:t>2</w:t>
      </w:r>
      <w:r w:rsidR="00D333C1">
        <w:t>4</w:t>
      </w:r>
      <w:r>
        <w:t xml:space="preserve"> </w:t>
      </w:r>
      <w:r w:rsidR="007935E6">
        <w:t>Kosten-Erlös-Abgleich</w:t>
      </w:r>
      <w:bookmarkEnd w:id="43"/>
    </w:p>
    <w:p w:rsidR="00EE5ED5" w:rsidRDefault="001E7F1F" w:rsidP="00817985">
      <w:pPr>
        <w:numPr>
          <w:ilvl w:val="0"/>
          <w:numId w:val="79"/>
        </w:numPr>
      </w:pPr>
      <w:r>
        <w:t xml:space="preserve">Für jeden Geltungszeitraum </w:t>
      </w:r>
      <w:r w:rsidR="00B34F55">
        <w:t>führt der Marktgebietsverantwortliche einen Abgleich durch, um festzustellen, ob Differenzen zwischen den im</w:t>
      </w:r>
      <w:r w:rsidR="00D95DB8">
        <w:t xml:space="preserve"> </w:t>
      </w:r>
      <w:r w:rsidR="00B34F55">
        <w:t xml:space="preserve">Geltungszeitraum aus dem Konvertierungsentgeltsystem erzielten </w:t>
      </w:r>
      <w:r>
        <w:t xml:space="preserve">sowie noch bis zum Ablauf des </w:t>
      </w:r>
      <w:r w:rsidR="00B34F55">
        <w:t>Geltungszei</w:t>
      </w:r>
      <w:r w:rsidR="00B34F55">
        <w:t>t</w:t>
      </w:r>
      <w:r w:rsidR="00B34F55">
        <w:t>raum</w:t>
      </w:r>
      <w:r>
        <w:t>s</w:t>
      </w:r>
      <w:r w:rsidR="00B34F55">
        <w:t xml:space="preserve"> </w:t>
      </w:r>
      <w:r w:rsidR="00D95DB8">
        <w:t>zu erzielenden Erlösen der Konvertierung und den tatsächlich im Geltungszei</w:t>
      </w:r>
      <w:r w:rsidR="00D95DB8">
        <w:t>t</w:t>
      </w:r>
      <w:r w:rsidR="00D95DB8">
        <w:t xml:space="preserve">raum angefallenen sowie noch bis zum Ablauf des Geltungszeitraums </w:t>
      </w:r>
      <w:r w:rsidR="00B34F55">
        <w:t>anfallen</w:t>
      </w:r>
      <w:r>
        <w:t>d</w:t>
      </w:r>
      <w:r w:rsidR="00B34F55">
        <w:t>en K</w:t>
      </w:r>
      <w:r w:rsidR="00B34F55">
        <w:t>o</w:t>
      </w:r>
      <w:r w:rsidR="00B34F55">
        <w:t>sten der Konvertierung entstanden sind</w:t>
      </w:r>
      <w:r>
        <w:t xml:space="preserve"> bzw. entstehen</w:t>
      </w:r>
      <w:r w:rsidR="00B34F55">
        <w:t>. Hierzu ermittelt der Marktg</w:t>
      </w:r>
      <w:r w:rsidR="00B34F55">
        <w:t>e</w:t>
      </w:r>
      <w:r w:rsidR="00B34F55">
        <w:t>bietsverantwortliche zunächst in einem angemessenen, verursachungsgerechten Ve</w:t>
      </w:r>
      <w:r w:rsidR="00B34F55">
        <w:t>r</w:t>
      </w:r>
      <w:r w:rsidR="00B34F55">
        <w:t xml:space="preserve">fahren tagesscharf die während des Geltungszeitraums </w:t>
      </w:r>
      <w:r>
        <w:t xml:space="preserve">bis zum Zeitpunkt der Prognosebildung </w:t>
      </w:r>
      <w:r w:rsidR="00B34F55">
        <w:t>tatsächlich entstandenen Konvertierungskosten und die erzielten E</w:t>
      </w:r>
      <w:r w:rsidR="00B34F55">
        <w:t>r</w:t>
      </w:r>
      <w:r w:rsidR="00B34F55">
        <w:t xml:space="preserve">löse. Sodann </w:t>
      </w:r>
      <w:r>
        <w:t xml:space="preserve">prognostiziert </w:t>
      </w:r>
      <w:r w:rsidR="00B34F55">
        <w:t xml:space="preserve">der Marktgebietsverantwortliche die </w:t>
      </w:r>
      <w:r>
        <w:t xml:space="preserve">bis zum Ablauf des Geltungszeitraums voraussichtlich noch entstehenden Kosten und </w:t>
      </w:r>
      <w:r w:rsidR="00B34F55">
        <w:t xml:space="preserve">Erlöse. </w:t>
      </w:r>
      <w:r>
        <w:t>Anhand be</w:t>
      </w:r>
      <w:r>
        <w:t>i</w:t>
      </w:r>
      <w:r>
        <w:t xml:space="preserve">der Ergebnisse ermittelt der Marktgebietsverantwortliche die Differenz zwischen den Kosten und den Erlösen. Wird in einem Geltungszeitraum ein Überschuss erwirtschaftet (Überschussperiode), hat der Marktgebietsverantwortliche folgendermaßen mit diesem Überschuss zu verfahren: </w:t>
      </w:r>
    </w:p>
    <w:p w:rsidR="00C6426A" w:rsidRDefault="00BD7AAB">
      <w:pPr>
        <w:pStyle w:val="Listenabsatz"/>
        <w:numPr>
          <w:ilvl w:val="0"/>
          <w:numId w:val="106"/>
        </w:numPr>
      </w:pPr>
      <w:r>
        <w:t>Überschüsse sind vorrangig zur Senkung der Konvertierungsumlage, zur De</w:t>
      </w:r>
      <w:r>
        <w:t>c</w:t>
      </w:r>
      <w:r>
        <w:t>kung des prognostizierten Fehlbetrags für den nächsten Geltungszeitraum s</w:t>
      </w:r>
      <w:r>
        <w:t>o</w:t>
      </w:r>
      <w:r>
        <w:t>wie zur Deckung eines Liquiditätspuffers zu verwenden.</w:t>
      </w:r>
    </w:p>
    <w:p w:rsidR="00C6426A" w:rsidRDefault="00BD7AAB">
      <w:pPr>
        <w:pStyle w:val="Listenabsatz"/>
        <w:numPr>
          <w:ilvl w:val="0"/>
          <w:numId w:val="106"/>
        </w:numPr>
      </w:pPr>
      <w:r>
        <w:t>Wird in einem Geltungszeitraum ein Überschuss (Überschussperiode) erwir</w:t>
      </w:r>
      <w:r>
        <w:t>t</w:t>
      </w:r>
      <w:r>
        <w:t>schaftet, der unter Berücksichtigung eines Liquiditätspuffers einen prognostizie</w:t>
      </w:r>
      <w:r>
        <w:t>r</w:t>
      </w:r>
      <w:r>
        <w:t>ten Fehlbetrag für den auf die Überschussperiode folgenden Geltungszeitraum /Folgeperiode) übersteigt, ist die Differenz in zwei Stufen auszuschütten: Z</w:t>
      </w:r>
      <w:r>
        <w:t>u</w:t>
      </w:r>
      <w:r>
        <w:t>nächst erfolgt eine Ausschüttung an alle Bilanzkreisverantwortlichen in Abhä</w:t>
      </w:r>
      <w:r>
        <w:t>n</w:t>
      </w:r>
      <w:r>
        <w:t>gigkeit der von ihnen gezahlten Konvertierungsumlage in der Überschussperi</w:t>
      </w:r>
      <w:r>
        <w:t>o</w:t>
      </w:r>
      <w:r>
        <w:t>de. Die Ausschüttung erfolgt maximal in Höhe der in der Überschussperiode g</w:t>
      </w:r>
      <w:r>
        <w:t>e</w:t>
      </w:r>
      <w:r>
        <w:t>zahlten Konvertierungsumlage. Sollten darüber hinaus Überschüsse bestehen, werden diese proportional an die Bilanzkreisverantwortlichen ausgeschüttet, welche in der Überschussperiode Konvertierungsentgelte gezahlt haben. Die Ausschüttung erfolgt maximal in Höhe der in der Überschussperiode gezahlten Konvertierungsentgelte.</w:t>
      </w:r>
    </w:p>
    <w:p w:rsidR="00C6426A" w:rsidRDefault="00BD7AAB">
      <w:pPr>
        <w:pStyle w:val="Listenabsatz"/>
        <w:numPr>
          <w:ilvl w:val="0"/>
          <w:numId w:val="106"/>
        </w:numPr>
      </w:pPr>
      <w:r>
        <w:t>Die Ermittlung der konkreten Höhe der Ausschüttung sowie die eigentliche Au</w:t>
      </w:r>
      <w:r>
        <w:t>s</w:t>
      </w:r>
      <w:r>
        <w:t>schüttung erfolgt in der Folgeperiode unverzüglich nach Vorliegen aller für die Ausschüttung notwendigen endgültigen Daten.</w:t>
      </w:r>
    </w:p>
    <w:p w:rsidR="00EE5ED5" w:rsidRDefault="00B34F55" w:rsidP="00817985">
      <w:pPr>
        <w:numPr>
          <w:ilvl w:val="0"/>
          <w:numId w:val="79"/>
        </w:numPr>
      </w:pPr>
      <w:r>
        <w:t>Zur Ermittlung der Differenz zwischen Konvertierungskosten und -erlösen hat der Marktgebietsverantwortliche für das Marktgebiet ein gesondertes Konto zu führen (Ko</w:t>
      </w:r>
      <w:r>
        <w:t>n</w:t>
      </w:r>
      <w:r>
        <w:t>vertierungskonto). Auf dieses Konto werden u.a. gebucht:</w:t>
      </w:r>
    </w:p>
    <w:p w:rsidR="00EE5ED5" w:rsidRDefault="00B34F55" w:rsidP="00817985">
      <w:pPr>
        <w:pStyle w:val="BulletPGL2"/>
        <w:numPr>
          <w:ilvl w:val="0"/>
          <w:numId w:val="66"/>
        </w:numPr>
        <w:tabs>
          <w:tab w:val="left" w:pos="993"/>
        </w:tabs>
        <w:ind w:left="993" w:hanging="426"/>
      </w:pPr>
      <w:r w:rsidRPr="00FB43D6">
        <w:t>Erlöse aus Konvertierungsentgelten,</w:t>
      </w:r>
    </w:p>
    <w:p w:rsidR="00EE5ED5" w:rsidRDefault="00B34F55" w:rsidP="00817985">
      <w:pPr>
        <w:pStyle w:val="BulletPGL2"/>
        <w:numPr>
          <w:ilvl w:val="0"/>
          <w:numId w:val="66"/>
        </w:numPr>
        <w:tabs>
          <w:tab w:val="left" w:pos="993"/>
        </w:tabs>
        <w:ind w:left="993" w:hanging="426"/>
      </w:pPr>
      <w:r w:rsidRPr="00FB43D6">
        <w:t>Erlöse aus der Konvertierungsumlage,</w:t>
      </w:r>
    </w:p>
    <w:p w:rsidR="00EE5ED5" w:rsidRDefault="00B34F55" w:rsidP="00817985">
      <w:pPr>
        <w:pStyle w:val="BulletPGL2"/>
        <w:numPr>
          <w:ilvl w:val="0"/>
          <w:numId w:val="66"/>
        </w:numPr>
        <w:tabs>
          <w:tab w:val="left" w:pos="993"/>
        </w:tabs>
        <w:ind w:left="993" w:hanging="426"/>
      </w:pPr>
      <w:r w:rsidRPr="00FB43D6">
        <w:t>Kosten und Erlöse aus der Durchführung von Konvertierungsmaßnahmen,</w:t>
      </w:r>
    </w:p>
    <w:p w:rsidR="00E450F9" w:rsidRDefault="00B34F55" w:rsidP="00817985">
      <w:pPr>
        <w:pStyle w:val="BulletPGL2"/>
        <w:numPr>
          <w:ilvl w:val="0"/>
          <w:numId w:val="66"/>
        </w:numPr>
        <w:tabs>
          <w:tab w:val="left" w:pos="993"/>
        </w:tabs>
        <w:ind w:left="993" w:hanging="426"/>
      </w:pPr>
      <w:r w:rsidRPr="00FB43D6">
        <w:t>Zinserträge</w:t>
      </w:r>
      <w:r>
        <w:t xml:space="preserve"> und -aufwendungen.</w:t>
      </w:r>
    </w:p>
    <w:p w:rsidR="00BD7AAB" w:rsidRPr="007F2C4C" w:rsidRDefault="00BD7AAB" w:rsidP="00817985">
      <w:pPr>
        <w:pStyle w:val="BulletPGL2"/>
        <w:numPr>
          <w:ilvl w:val="0"/>
          <w:numId w:val="66"/>
        </w:numPr>
        <w:tabs>
          <w:tab w:val="left" w:pos="993"/>
        </w:tabs>
        <w:ind w:left="993" w:hanging="426"/>
      </w:pPr>
      <w:r>
        <w:t>Liquiditätspuffer</w:t>
      </w:r>
    </w:p>
    <w:p w:rsidR="009F2CE8" w:rsidRDefault="009F2CE8" w:rsidP="009F2CE8">
      <w:pPr>
        <w:pStyle w:val="berschrift1"/>
      </w:pPr>
      <w:bookmarkStart w:id="44" w:name="_Toc297207924"/>
      <w:bookmarkStart w:id="45" w:name="_Toc130898660"/>
      <w:bookmarkStart w:id="46" w:name="_Toc476824428"/>
      <w:bookmarkEnd w:id="12"/>
      <w:r>
        <w:t>§ 2</w:t>
      </w:r>
      <w:r w:rsidR="00D333C1">
        <w:t>5</w:t>
      </w:r>
      <w:r>
        <w:t xml:space="preserve"> Regelungen zu börslichen Produkten mit physischer Erfüllungsrestriktion</w:t>
      </w:r>
      <w:bookmarkEnd w:id="46"/>
    </w:p>
    <w:p w:rsidR="009F2CE8" w:rsidRDefault="009F2CE8" w:rsidP="009F2CE8">
      <w:pPr>
        <w:pStyle w:val="BulletPGL2"/>
        <w:numPr>
          <w:ilvl w:val="0"/>
          <w:numId w:val="100"/>
        </w:numPr>
      </w:pPr>
      <w:r>
        <w:t>Im Falle eines börslichen Handelsgeschäftes von börslichen Produkten mit p</w:t>
      </w:r>
      <w:r w:rsidRPr="0022122C">
        <w:t>hysischer Erfüllungsrestriktion</w:t>
      </w:r>
      <w:r>
        <w:t>, wie</w:t>
      </w:r>
    </w:p>
    <w:p w:rsidR="009F2CE8" w:rsidRDefault="009F2CE8" w:rsidP="009F2CE8">
      <w:pPr>
        <w:pStyle w:val="BulletPGL2"/>
        <w:numPr>
          <w:ilvl w:val="0"/>
          <w:numId w:val="93"/>
        </w:numPr>
        <w:ind w:left="992" w:hanging="425"/>
      </w:pPr>
      <w:r>
        <w:t>Produkten, die in einer bestimmten Gasqualität (H-Gas oder L-Gas) gehandelt werden ("</w:t>
      </w:r>
      <w:r w:rsidRPr="0065192C">
        <w:t>Gasqualitätsspezifische Produkte"),</w:t>
      </w:r>
      <w:r>
        <w:t xml:space="preserve"> </w:t>
      </w:r>
    </w:p>
    <w:p w:rsidR="009F2CE8" w:rsidRDefault="009F2CE8" w:rsidP="009F2CE8">
      <w:pPr>
        <w:pStyle w:val="BulletPGL2"/>
        <w:numPr>
          <w:ilvl w:val="0"/>
          <w:numId w:val="93"/>
        </w:numPr>
        <w:ind w:left="992" w:hanging="425"/>
      </w:pPr>
      <w:r>
        <w:t>Produkten, die im Hinblick auf ein bestimmtes Netzgebiet oder eine bestimmte R</w:t>
      </w:r>
      <w:r>
        <w:t>e</w:t>
      </w:r>
      <w:r>
        <w:t>gelenergiezone gehandelt werden (</w:t>
      </w:r>
      <w:r w:rsidRPr="0065192C">
        <w:t xml:space="preserve">"Lokale Produkte"), </w:t>
      </w:r>
      <w:r>
        <w:t xml:space="preserve">oder </w:t>
      </w:r>
    </w:p>
    <w:p w:rsidR="009F2CE8" w:rsidRPr="0065192C" w:rsidRDefault="009F2CE8" w:rsidP="009F2CE8">
      <w:pPr>
        <w:pStyle w:val="BulletPGL2"/>
        <w:numPr>
          <w:ilvl w:val="0"/>
          <w:numId w:val="93"/>
        </w:numPr>
        <w:ind w:left="992" w:hanging="425"/>
      </w:pPr>
      <w:r>
        <w:t xml:space="preserve">Produkten, die sich auf einen bestimmten Ein- oder Ausspeisepunkt beziehen </w:t>
      </w:r>
      <w:r w:rsidRPr="0065192C">
        <w:t>("Netzpunktscharfe Produkte"),</w:t>
      </w:r>
    </w:p>
    <w:p w:rsidR="009F2CE8" w:rsidRPr="0015612F" w:rsidRDefault="009F2CE8" w:rsidP="009F2CE8">
      <w:pPr>
        <w:pStyle w:val="BulletPGL2"/>
        <w:numPr>
          <w:ilvl w:val="0"/>
          <w:numId w:val="0"/>
        </w:numPr>
        <w:ind w:left="567"/>
      </w:pPr>
      <w:r>
        <w:t xml:space="preserve">- sofern diese Produkte angeboten werden - </w:t>
      </w:r>
      <w:r w:rsidRPr="0015612F">
        <w:t xml:space="preserve">sind der abgebende und der aufnehmende Bilanzkreisverantwortliche (jeweils "Handelsteilnehmer") nach Maßgabe dieses § </w:t>
      </w:r>
      <w:r w:rsidR="003C1BA6">
        <w:t>2</w:t>
      </w:r>
      <w:r w:rsidR="00D333C1">
        <w:t>5</w:t>
      </w:r>
      <w:r w:rsidRPr="0015612F">
        <w:t xml:space="preserve"> dazu verpflichtet, einen physischen Effekt zu bewirken. </w:t>
      </w:r>
    </w:p>
    <w:p w:rsidR="009F2CE8" w:rsidRDefault="009F2CE8" w:rsidP="009F2CE8">
      <w:pPr>
        <w:pStyle w:val="BulletPGL2"/>
        <w:numPr>
          <w:ilvl w:val="0"/>
          <w:numId w:val="100"/>
        </w:numPr>
      </w:pPr>
      <w:r>
        <w:t>Der Handelsteilnehmer muss den physischen Effekt über seinen Bilanzkreis bzw. sein Sub-Bilanzkonto bewirken, indem er über entsprechende Nominierungen oder Renominierungen an Grenzübergangspunkten, Marktgebietsübergangspunkten oder Speicherpunkten physische Ein- bzw. Ausspeisungen veranlasst. Der Handelsteilne</w:t>
      </w:r>
      <w:r>
        <w:t>h</w:t>
      </w:r>
      <w:r>
        <w:t xml:space="preserve">mer muss dabei </w:t>
      </w:r>
    </w:p>
    <w:p w:rsidR="009F2CE8" w:rsidRDefault="009F2CE8" w:rsidP="009F2CE8">
      <w:pPr>
        <w:pStyle w:val="BulletPGL2"/>
        <w:numPr>
          <w:ilvl w:val="0"/>
          <w:numId w:val="93"/>
        </w:numPr>
        <w:ind w:left="992" w:hanging="425"/>
      </w:pPr>
      <w:r>
        <w:t xml:space="preserve">im Falle des Kaufs eines Gasqualitätsspezifischen Produktes in der bestimmten Gasqualität (H-Gas bzw. L-Gas), </w:t>
      </w:r>
    </w:p>
    <w:p w:rsidR="009F2CE8" w:rsidRDefault="009F2CE8" w:rsidP="009F2CE8">
      <w:pPr>
        <w:pStyle w:val="BulletPGL2"/>
        <w:numPr>
          <w:ilvl w:val="0"/>
          <w:numId w:val="93"/>
        </w:numPr>
        <w:ind w:left="992" w:hanging="425"/>
      </w:pPr>
      <w:r>
        <w:t>im Falle des Kaufs eines Lokalen Produktes im jeweiligen Netzgebiet bzw. in der jeweiligen Regelenergiezone, und</w:t>
      </w:r>
    </w:p>
    <w:p w:rsidR="009F2CE8" w:rsidRDefault="009F2CE8" w:rsidP="009F2CE8">
      <w:pPr>
        <w:pStyle w:val="BulletPGL2"/>
        <w:numPr>
          <w:ilvl w:val="0"/>
          <w:numId w:val="93"/>
        </w:numPr>
        <w:ind w:left="992" w:hanging="425"/>
      </w:pPr>
      <w:r>
        <w:t>im Falle des Kaufs eines Netzpunktscharfen Produktes am jeweiligen Ein- oder Ausspeisepunkt</w:t>
      </w:r>
    </w:p>
    <w:p w:rsidR="009F2CE8" w:rsidRDefault="009F2CE8" w:rsidP="009F2CE8">
      <w:pPr>
        <w:pStyle w:val="BulletPGL2"/>
        <w:numPr>
          <w:ilvl w:val="0"/>
          <w:numId w:val="0"/>
        </w:numPr>
        <w:ind w:left="567"/>
      </w:pPr>
      <w:r>
        <w:t>eine physische Ausspeisung von Gas und/oder die Reduktion von physischen Einspe</w:t>
      </w:r>
      <w:r>
        <w:t>i</w:t>
      </w:r>
      <w:r>
        <w:t xml:space="preserve">sungen von Gas bewirken, und er muss </w:t>
      </w:r>
    </w:p>
    <w:p w:rsidR="009F2CE8" w:rsidRDefault="009F2CE8" w:rsidP="009F2CE8">
      <w:pPr>
        <w:pStyle w:val="BulletPGL2"/>
        <w:numPr>
          <w:ilvl w:val="0"/>
          <w:numId w:val="93"/>
        </w:numPr>
        <w:ind w:left="992" w:hanging="425"/>
      </w:pPr>
      <w:r>
        <w:t xml:space="preserve">im Falle des Verkaufs eines Gasqualitätsspezifischen Produktes in der bestimmten Gasqualität (H-Gas bzw. L-Gas), </w:t>
      </w:r>
    </w:p>
    <w:p w:rsidR="009F2CE8" w:rsidRDefault="009F2CE8" w:rsidP="009F2CE8">
      <w:pPr>
        <w:pStyle w:val="BulletPGL2"/>
        <w:numPr>
          <w:ilvl w:val="0"/>
          <w:numId w:val="93"/>
        </w:numPr>
        <w:ind w:left="992" w:hanging="425"/>
      </w:pPr>
      <w:r>
        <w:t>im Falle des Verkaufs eines Lokalen Produktes im jeweiligen Netzgebiet bzw. in der jeweiligen Regelenergiezone, und</w:t>
      </w:r>
    </w:p>
    <w:p w:rsidR="009F2CE8" w:rsidRDefault="009F2CE8" w:rsidP="009F2CE8">
      <w:pPr>
        <w:pStyle w:val="BulletPGL2"/>
        <w:numPr>
          <w:ilvl w:val="0"/>
          <w:numId w:val="93"/>
        </w:numPr>
        <w:ind w:left="992" w:hanging="425"/>
      </w:pPr>
      <w:r>
        <w:t>im Falle des Verkaufs eines Netzpunktscharfen Produktes am jeweiligen Ein- oder Ausspeisepunkt</w:t>
      </w:r>
    </w:p>
    <w:p w:rsidR="009F2CE8" w:rsidRDefault="009F2CE8" w:rsidP="009F2CE8">
      <w:pPr>
        <w:pStyle w:val="BulletPGL2"/>
        <w:numPr>
          <w:ilvl w:val="0"/>
          <w:numId w:val="0"/>
        </w:numPr>
        <w:ind w:left="567"/>
      </w:pPr>
      <w:r>
        <w:t>eine physische Einspeisung von Gas und/oder die Reduktion von physischen Ausspe</w:t>
      </w:r>
      <w:r>
        <w:t>i</w:t>
      </w:r>
      <w:r>
        <w:t xml:space="preserve">sungen von Gas bewirken. </w:t>
      </w:r>
    </w:p>
    <w:p w:rsidR="009F2CE8" w:rsidRDefault="009F2CE8" w:rsidP="009F2CE8">
      <w:pPr>
        <w:pStyle w:val="BulletPGL2"/>
        <w:numPr>
          <w:ilvl w:val="0"/>
          <w:numId w:val="0"/>
        </w:numPr>
        <w:ind w:left="567"/>
      </w:pPr>
      <w:r>
        <w:t>Die jeweiligen Nominierungen bzw. Renominierungen von physischen Ein- bzw. Au</w:t>
      </w:r>
      <w:r>
        <w:t>s</w:t>
      </w:r>
      <w:r>
        <w:t>speisungen müssen zielgerichtet zur Bewirkung des erforderlichen Effektes vorgeno</w:t>
      </w:r>
      <w:r>
        <w:t>m</w:t>
      </w:r>
      <w:r>
        <w:t>men werden</w:t>
      </w:r>
      <w:r w:rsidRPr="00255D0A">
        <w:t>.</w:t>
      </w:r>
      <w:r>
        <w:t xml:space="preserve"> </w:t>
      </w:r>
    </w:p>
    <w:p w:rsidR="009F2CE8" w:rsidRDefault="009F2CE8" w:rsidP="009F2CE8">
      <w:pPr>
        <w:pStyle w:val="BulletPGL2"/>
        <w:numPr>
          <w:ilvl w:val="0"/>
          <w:numId w:val="100"/>
        </w:numPr>
      </w:pPr>
      <w:r>
        <w:t>Alternativ zur unter Ziffer 2 beschriebenen Bewirkung des physischen Effektes kann der Handelsteilnehmer den physischen Effekt bewirken, indem er sicherstellt, dass ein le</w:t>
      </w:r>
      <w:r>
        <w:t>i</w:t>
      </w:r>
      <w:r>
        <w:t>stungsgemessener Letztverbraucher, dessen Abnahmestelle dem Bilanzkreis oder e</w:t>
      </w:r>
      <w:r>
        <w:t>i</w:t>
      </w:r>
      <w:r>
        <w:t>nem Sub-Bilanzkonto des Handelsteilnehmers zugeordnet ist</w:t>
      </w:r>
    </w:p>
    <w:p w:rsidR="009F2CE8" w:rsidRDefault="009F2CE8" w:rsidP="009F2CE8">
      <w:pPr>
        <w:pStyle w:val="BulletPGL2"/>
        <w:numPr>
          <w:ilvl w:val="0"/>
          <w:numId w:val="93"/>
        </w:numPr>
        <w:ind w:left="992" w:hanging="425"/>
      </w:pPr>
      <w:r>
        <w:t>im Falle des Kaufs eines Börslichen Produktes mit physischer Erfüllungsrestriktion seinen Verbrauch entsprechend erhöht, bzw.</w:t>
      </w:r>
    </w:p>
    <w:p w:rsidR="009F2CE8" w:rsidRDefault="009F2CE8" w:rsidP="009F2CE8">
      <w:pPr>
        <w:pStyle w:val="BulletPGL2"/>
        <w:numPr>
          <w:ilvl w:val="0"/>
          <w:numId w:val="93"/>
        </w:numPr>
        <w:ind w:left="992" w:hanging="425"/>
      </w:pPr>
      <w:r>
        <w:t>im Falle des Verkaufs eines Börslichen Produktes mit physischer Erfüllungsrestri</w:t>
      </w:r>
      <w:r>
        <w:t>k</w:t>
      </w:r>
      <w:r>
        <w:t>tion seinen Verbrauch entsprechend reduziert.</w:t>
      </w:r>
    </w:p>
    <w:p w:rsidR="009F2CE8" w:rsidRDefault="009F2CE8" w:rsidP="009F2CE8">
      <w:pPr>
        <w:pStyle w:val="BulletPGL2"/>
        <w:numPr>
          <w:ilvl w:val="0"/>
          <w:numId w:val="0"/>
        </w:numPr>
        <w:ind w:left="567"/>
      </w:pPr>
      <w:r>
        <w:t>Im Falle einer Nachweisanforderung des Marktgebietsverantwortlichen gemäß Ziffer 11 hat der Handelsteilnehmer durch geeignete Mittel nachzuweisen, dass die Verbrauch</w:t>
      </w:r>
      <w:r>
        <w:t>s</w:t>
      </w:r>
      <w:r>
        <w:t>änderung zielgerichtet aufgrund des Handels mit einem Börslichen Produkt mit phys</w:t>
      </w:r>
      <w:r>
        <w:t>i</w:t>
      </w:r>
      <w:r>
        <w:t>scher Erfüllungsrestriktion durch den Handelsteilnehmer erfolgte und insbesondere zum Zeitpunkt des Abschlusses des börslichen Handelsgeschäftes nicht bereits veranlasst war.</w:t>
      </w:r>
    </w:p>
    <w:p w:rsidR="009F2CE8" w:rsidRDefault="009F2CE8" w:rsidP="009F2CE8">
      <w:pPr>
        <w:pStyle w:val="BulletPGL2"/>
        <w:numPr>
          <w:ilvl w:val="0"/>
          <w:numId w:val="100"/>
        </w:numPr>
      </w:pPr>
      <w:r>
        <w:t xml:space="preserve">Der physische Effekt gemäß den vorstehenden Ziffern 1 bis 3 </w:t>
      </w:r>
      <w:r w:rsidR="009A40A9">
        <w:t>für börsliche Handelsg</w:t>
      </w:r>
      <w:r w:rsidR="009A40A9">
        <w:t>e</w:t>
      </w:r>
      <w:r w:rsidR="009A40A9">
        <w:t>schäfte mit physischer Lieferung in genau einer Lieferstunde, muss in Höhe der geha</w:t>
      </w:r>
      <w:r w:rsidR="009A40A9">
        <w:t>n</w:t>
      </w:r>
      <w:r w:rsidR="009A40A9">
        <w:t>delten Gasmenge für genau die gehandelte Lieferstunde bewirkt werden</w:t>
      </w:r>
      <w:r>
        <w:t>.</w:t>
      </w:r>
      <w:r w:rsidR="00810676">
        <w:t xml:space="preserve"> Der Nachweis hierfür kann auf Basis entsprechender Allokationswerte geführt werden.</w:t>
      </w:r>
    </w:p>
    <w:p w:rsidR="009F2CE8" w:rsidRDefault="009F2CE8" w:rsidP="009F2CE8">
      <w:pPr>
        <w:pStyle w:val="BulletPGL2"/>
        <w:numPr>
          <w:ilvl w:val="0"/>
          <w:numId w:val="100"/>
        </w:numPr>
      </w:pPr>
      <w:r>
        <w:t xml:space="preserve">Der gemäß den Ziffern 1 bis 4 zu bewirkende physische Effekt kann auch durch einen Dritten bewirkt werden, soweit der Bilanzkreis bzw. das Sub-Bilanzkonto des Dritten mit dem Bilanzkreis bzw. Sub-Bilanzkonto des Handelsteilnehmers gemäß § </w:t>
      </w:r>
      <w:r w:rsidR="003C1BA6">
        <w:t>17</w:t>
      </w:r>
      <w:r>
        <w:t xml:space="preserve"> verbunden ist. Hierzu muss der Handelsteilnehmer den Dritten mit der Bewirkung beauftragen und die Bewirkung im Sinne der Ziffern 1 bis 4 durch den Dritten hiermit sicherstellen. Gegenüber dem Marktgebietsverantwortlichen haftet in jedem Fall der Handelsteilne</w:t>
      </w:r>
      <w:r>
        <w:t>h</w:t>
      </w:r>
      <w:r>
        <w:t>mer für die Bewirkung des physischen Effektes.</w:t>
      </w:r>
    </w:p>
    <w:p w:rsidR="009F2CE8" w:rsidRDefault="009F2CE8" w:rsidP="009F2CE8">
      <w:pPr>
        <w:pStyle w:val="BulletPGL2"/>
        <w:numPr>
          <w:ilvl w:val="0"/>
          <w:numId w:val="100"/>
        </w:numPr>
      </w:pPr>
      <w:r>
        <w:t>Ein Ausgleich des Handelsgeschäftes durch Nutzung bilanzieller Konvertierung ist u</w:t>
      </w:r>
      <w:r>
        <w:t>n</w:t>
      </w:r>
      <w:r>
        <w:t xml:space="preserve">zulässig. </w:t>
      </w:r>
    </w:p>
    <w:p w:rsidR="009F2CE8" w:rsidRDefault="009F2CE8" w:rsidP="009F2CE8">
      <w:pPr>
        <w:pStyle w:val="BulletPGL2"/>
        <w:numPr>
          <w:ilvl w:val="0"/>
          <w:numId w:val="100"/>
        </w:numPr>
      </w:pPr>
      <w:r>
        <w:t>Der Handelsteilnehmer kann eine Gasmenge, die der Menge eines als Börslichen Pr</w:t>
      </w:r>
      <w:r>
        <w:t>o</w:t>
      </w:r>
      <w:r>
        <w:t>duktes mit physischer Erfüllungsrestriktion gehandelten Menge entspricht, im Falle des Kaufs eines solchen Produktes am VHP des Marktgebietes an einen Dritten übergeben bzw. im Falle des Verkaufs eines solchen Produktes am VHP des Marktgebietes von einem Dritten übernehmen, sofern er den Dritten mit der Bewirkung des physischen E</w:t>
      </w:r>
      <w:r>
        <w:t>f</w:t>
      </w:r>
      <w:r>
        <w:t xml:space="preserve">fektes gemäß den Ziffern 1 bis 4 beauftragt hat und </w:t>
      </w:r>
      <w:r w:rsidRPr="00360129">
        <w:t>hiermit die Bewirkung des phys</w:t>
      </w:r>
      <w:r w:rsidRPr="00360129">
        <w:t>i</w:t>
      </w:r>
      <w:r w:rsidRPr="00360129">
        <w:t xml:space="preserve">schen Effektes </w:t>
      </w:r>
      <w:r>
        <w:t>gemäß Ziffern 1 bis 4 durch den Dritten sichergestellt hat. Gegenüber dem Marktgebietsverantwortlichen haftet in jedem Fall der Handelsteilnehmer für die Bewirkung des physischen Effektes.</w:t>
      </w:r>
    </w:p>
    <w:p w:rsidR="009F2CE8" w:rsidRDefault="009F2CE8" w:rsidP="009F2CE8">
      <w:pPr>
        <w:pStyle w:val="BulletPGL2"/>
        <w:numPr>
          <w:ilvl w:val="0"/>
          <w:numId w:val="100"/>
        </w:numPr>
      </w:pPr>
      <w:r>
        <w:t>Soweit vom Handelsteilnehmer hinsichtlich eines bestimmten Lieferzeitraums und b</w:t>
      </w:r>
      <w:r>
        <w:t>e</w:t>
      </w:r>
      <w:r>
        <w:t>stimmten Stunden an derselben Börse dieselbe Menge eines Börslichen Produktes mit physischer Erfüllungsrestriktion in derselben Produktvariante gekauft und wieder ve</w:t>
      </w:r>
      <w:r>
        <w:t>r</w:t>
      </w:r>
      <w:r>
        <w:t>kauft oder verkauft und wieder gekauft wurde, wird der Handelsteilnehmer hinsichtlich dieser Stunden von der Pflicht zur Bewirkung des physischen Effektes gemäß  der Zi</w:t>
      </w:r>
      <w:r>
        <w:t>f</w:t>
      </w:r>
      <w:r>
        <w:t>fern 1 bis 4 befreit.</w:t>
      </w:r>
    </w:p>
    <w:p w:rsidR="009F2CE8" w:rsidRDefault="009F2CE8" w:rsidP="009F2CE8">
      <w:pPr>
        <w:pStyle w:val="BulletPGL2"/>
        <w:numPr>
          <w:ilvl w:val="0"/>
          <w:numId w:val="100"/>
        </w:numPr>
      </w:pPr>
      <w:r>
        <w:t xml:space="preserve">Der Marktgebietsverantwortliche ist im Rahmen der Beschaffung externer Regelenergie von den Verpflichtungen zur Bewirkung eines physischen Effektes gemäß Ziffern 1 bis 4 ausgenommen. </w:t>
      </w:r>
    </w:p>
    <w:p w:rsidR="009F2CE8" w:rsidRDefault="009F2CE8" w:rsidP="009F2CE8">
      <w:pPr>
        <w:pStyle w:val="BulletPGL2"/>
        <w:numPr>
          <w:ilvl w:val="0"/>
          <w:numId w:val="100"/>
        </w:numPr>
      </w:pPr>
      <w:r>
        <w:t xml:space="preserve">Der Marktgebietsverantwortliche ist berechtigt, in Bezug auf Handelsgeschäfte im Sinne dieses § </w:t>
      </w:r>
      <w:r w:rsidR="003C1BA6">
        <w:t>2</w:t>
      </w:r>
      <w:r w:rsidR="00D333C1">
        <w:t>5</w:t>
      </w:r>
      <w:r>
        <w:t xml:space="preserve"> jegliche Handelsdaten von der Börse zu verlangen und zu erhalten, die für die Prüfung der Einhaltung der Verpflichtungen des Handelsteilnehmers erforderlich sind. </w:t>
      </w:r>
    </w:p>
    <w:p w:rsidR="009F2CE8" w:rsidRPr="0010334C" w:rsidRDefault="009F2CE8" w:rsidP="009F2CE8">
      <w:pPr>
        <w:pStyle w:val="BulletPGL2"/>
        <w:numPr>
          <w:ilvl w:val="0"/>
          <w:numId w:val="100"/>
        </w:numPr>
      </w:pPr>
      <w:r>
        <w:t>Hat der Marktgebietsverantwortliche berechtigte Zweifel, dass der physische Effekt g</w:t>
      </w:r>
      <w:r>
        <w:t>e</w:t>
      </w:r>
      <w:r>
        <w:t xml:space="preserve">mäß dieses § </w:t>
      </w:r>
      <w:r w:rsidR="003C1BA6">
        <w:t>2</w:t>
      </w:r>
      <w:r w:rsidR="00D333C1">
        <w:t>5</w:t>
      </w:r>
      <w:r>
        <w:t xml:space="preserve"> eingetreten ist, so ist der Handelsteilnehmer verpflichtet, dem </w:t>
      </w:r>
      <w:r w:rsidRPr="0010334C">
        <w:t>Mark</w:t>
      </w:r>
      <w:r w:rsidRPr="0010334C">
        <w:t>t</w:t>
      </w:r>
      <w:r w:rsidRPr="0010334C">
        <w:t>gebietsverantwortlichen auf Anfrage die ordnungsgemäße Bewirkung des physischen Effekts nachzuweisen.</w:t>
      </w:r>
    </w:p>
    <w:p w:rsidR="009F2CE8" w:rsidRPr="0010334C" w:rsidRDefault="009F2CE8" w:rsidP="009F2CE8">
      <w:pPr>
        <w:pStyle w:val="BulletPGL2"/>
        <w:numPr>
          <w:ilvl w:val="0"/>
          <w:numId w:val="100"/>
        </w:numPr>
      </w:pPr>
      <w:r w:rsidRPr="0010334C">
        <w:t xml:space="preserve">Sofern der Handelsteilnehmer gegen die Pflicht zur Bewirkung des physischen Effektes gemäß dieses § </w:t>
      </w:r>
      <w:r w:rsidR="00667F23">
        <w:t>2</w:t>
      </w:r>
      <w:r w:rsidR="00D333C1">
        <w:t>5</w:t>
      </w:r>
      <w:r w:rsidR="00667F23" w:rsidRPr="0010334C">
        <w:t xml:space="preserve"> </w:t>
      </w:r>
      <w:r w:rsidRPr="0010334C">
        <w:t>verstößt, hat der Handelsteilnehmer dem Marktgebietsverant</w:t>
      </w:r>
      <w:r w:rsidRPr="0010334C">
        <w:softHyphen/>
        <w:t>wortlichen eine Vertragsstrafe zu zahlen</w:t>
      </w:r>
      <w:r>
        <w:t>, es sei denn, der Handelsteilnehmer weist gegenüber dem Marktgebietsverantwortlichen nach, dass er den Pflichtverstoß nicht zu vertreten hat.</w:t>
      </w:r>
    </w:p>
    <w:p w:rsidR="009F2CE8" w:rsidRPr="0010334C" w:rsidRDefault="009F2CE8" w:rsidP="009F2CE8">
      <w:pPr>
        <w:pStyle w:val="BulletPGL2"/>
        <w:numPr>
          <w:ilvl w:val="0"/>
          <w:numId w:val="0"/>
        </w:numPr>
        <w:ind w:left="567"/>
      </w:pPr>
      <w:r w:rsidRPr="0010334C">
        <w:t xml:space="preserve">Als Vertragsstrafe gilt die Differenz zwischen </w:t>
      </w:r>
    </w:p>
    <w:p w:rsidR="009F2CE8" w:rsidRDefault="009F2CE8" w:rsidP="009F2CE8">
      <w:pPr>
        <w:pStyle w:val="BulletPGL2"/>
        <w:numPr>
          <w:ilvl w:val="0"/>
          <w:numId w:val="93"/>
        </w:numPr>
        <w:ind w:left="992" w:hanging="425"/>
      </w:pPr>
      <w:r>
        <w:t>dem Betrag, der sich aus der als Börsliches Produkt mit Physischer Erfüllungsres</w:t>
      </w:r>
      <w:r>
        <w:t>t</w:t>
      </w:r>
      <w:r>
        <w:t>riktion gem Ziff. 1 gehandelten Gasmenge, für die der physische Effekt nicht b</w:t>
      </w:r>
      <w:r>
        <w:t>e</w:t>
      </w:r>
      <w:r>
        <w:t>wirkt wurde, und dem vom Handelsteilnehmer tatsächlich erzielten bzw. gezahlten Handelspreis des Börslichen Produktes mit Physischer Erfüllungsrestriktion gem. Ziff 1 ergibt</w:t>
      </w:r>
    </w:p>
    <w:p w:rsidR="009F2CE8" w:rsidRPr="0010334C" w:rsidRDefault="009F2CE8" w:rsidP="009F2CE8">
      <w:pPr>
        <w:pStyle w:val="BulletPGL2"/>
        <w:numPr>
          <w:ilvl w:val="0"/>
          <w:numId w:val="0"/>
        </w:numPr>
        <w:ind w:left="567"/>
      </w:pPr>
      <w:r w:rsidRPr="0010334C">
        <w:t>und</w:t>
      </w:r>
    </w:p>
    <w:p w:rsidR="009F2CE8" w:rsidRDefault="009F2CE8" w:rsidP="009F2CE8">
      <w:pPr>
        <w:pStyle w:val="BulletPGL2"/>
        <w:numPr>
          <w:ilvl w:val="0"/>
          <w:numId w:val="93"/>
        </w:numPr>
        <w:ind w:left="992" w:hanging="425"/>
      </w:pPr>
      <w:r>
        <w:t>dem Betrag, der sich aus der als Börsliches Produkt mit Physischer Erfüllungsres</w:t>
      </w:r>
      <w:r>
        <w:t>t</w:t>
      </w:r>
      <w:r>
        <w:t>riktion gem Ziff. 1 gehandelten Gasmenge, für die der physische Effekt nicht b</w:t>
      </w:r>
      <w:r>
        <w:t>e</w:t>
      </w:r>
      <w:r>
        <w:t>wirkt wurde, und dem Ausgleichsenergiepreis desjenigen Gastages ergibt, an dem der physische Effekt zu bewirken war. Für den Fall, dass der Handelsteilnehmer ein Börsliches Produkt mit Physischer Erfüllungsrestriktion verkauft hat, gilt der n</w:t>
      </w:r>
      <w:r>
        <w:t>e</w:t>
      </w:r>
      <w:r>
        <w:t xml:space="preserve">gative Ausgleichsenergiepreis gemäß § </w:t>
      </w:r>
      <w:r w:rsidR="003C1BA6">
        <w:t>14</w:t>
      </w:r>
      <w:r>
        <w:t xml:space="preserve"> Ziffer 4 b. Für den Fall, dass der Ha</w:t>
      </w:r>
      <w:r>
        <w:t>n</w:t>
      </w:r>
      <w:r>
        <w:t xml:space="preserve">delsteilnehmer ein Börsliches Produkt mit Physischer Erfüllungsrestriktion  gekauft hat, gilt der positive Ausgleichsenergiepreis gemäß § </w:t>
      </w:r>
      <w:r w:rsidR="003C1BA6">
        <w:t>14</w:t>
      </w:r>
      <w:r>
        <w:t xml:space="preserve"> Ziffer 4 a.].</w:t>
      </w:r>
    </w:p>
    <w:p w:rsidR="009F2CE8" w:rsidRDefault="009F2CE8" w:rsidP="009F2CE8">
      <w:pPr>
        <w:pStyle w:val="BulletPGL2"/>
        <w:numPr>
          <w:ilvl w:val="0"/>
          <w:numId w:val="0"/>
        </w:numPr>
        <w:ind w:left="567"/>
      </w:pPr>
      <w:r w:rsidRPr="0010334C">
        <w:t>Die Geltendmachung weitergehender Schadensersatzansprüche durch den Marktg</w:t>
      </w:r>
      <w:r w:rsidRPr="0010334C">
        <w:t>e</w:t>
      </w:r>
      <w:r w:rsidRPr="0010334C">
        <w:t>bietsverantwortlichen bleibt unberührt.</w:t>
      </w:r>
      <w:r>
        <w:t xml:space="preserve"> Eine gemäß dieser Ziffer 12. zu leistende Ve</w:t>
      </w:r>
      <w:r>
        <w:t>r</w:t>
      </w:r>
      <w:r>
        <w:t>tragsstrafe wird auf einen etwaig zu leistenden Schadensersatz angerechnet.</w:t>
      </w:r>
    </w:p>
    <w:p w:rsidR="007E12F9" w:rsidRPr="00CC70B3" w:rsidRDefault="002A416D" w:rsidP="002A416D">
      <w:pPr>
        <w:pStyle w:val="berschrift1"/>
      </w:pPr>
      <w:bookmarkStart w:id="47" w:name="_Toc297207930"/>
      <w:bookmarkStart w:id="48" w:name="_Toc130898662"/>
      <w:bookmarkStart w:id="49" w:name="_Toc476824429"/>
      <w:bookmarkEnd w:id="44"/>
      <w:bookmarkEnd w:id="45"/>
      <w:r>
        <w:t>§ 2</w:t>
      </w:r>
      <w:r w:rsidR="00D333C1">
        <w:t>6</w:t>
      </w:r>
      <w:r>
        <w:t xml:space="preserve"> </w:t>
      </w:r>
      <w:r w:rsidR="005D1D53">
        <w:t>Verfügbarkeit</w:t>
      </w:r>
      <w:r w:rsidR="003B779B" w:rsidRPr="003B779B">
        <w:t xml:space="preserve"> </w:t>
      </w:r>
      <w:r w:rsidR="005D1D53" w:rsidRPr="00920B43">
        <w:t>der IT</w:t>
      </w:r>
      <w:bookmarkEnd w:id="49"/>
    </w:p>
    <w:p w:rsidR="00EE5ED5" w:rsidRDefault="00C4720C" w:rsidP="00817985">
      <w:pPr>
        <w:pStyle w:val="BulletPGL2"/>
        <w:numPr>
          <w:ilvl w:val="0"/>
          <w:numId w:val="92"/>
        </w:numPr>
      </w:pPr>
      <w:r w:rsidRPr="00444804">
        <w:t>Der Anspruch auf Nutzung von webbasierten Kommunikationswegen und ihrer Funkti</w:t>
      </w:r>
      <w:r w:rsidRPr="00444804">
        <w:t>o</w:t>
      </w:r>
      <w:r w:rsidRPr="00444804">
        <w:t>nen einschließlich der verbundenen Systeme des Marktgebietsverantwortlichen (z</w:t>
      </w:r>
      <w:r w:rsidRPr="00444804">
        <w:t>u</w:t>
      </w:r>
      <w:r w:rsidRPr="00444804">
        <w:t>sammen im Folgenden als „Kommunikationssysteme“ bezeichnet) besteht nur im Ra</w:t>
      </w:r>
      <w:r w:rsidRPr="00444804">
        <w:t>h</w:t>
      </w:r>
      <w:r w:rsidRPr="00444804">
        <w:t>men des Stands der Technik und der technischen Verfügbarkeit der Kommunikation</w:t>
      </w:r>
      <w:r w:rsidRPr="00444804">
        <w:t>s</w:t>
      </w:r>
      <w:r w:rsidRPr="00444804">
        <w:t>systeme. Der Marktgebietsverantwortliche kann den Leistungsumfang der Kommunik</w:t>
      </w:r>
      <w:r w:rsidRPr="00444804">
        <w:t>a</w:t>
      </w:r>
      <w:r w:rsidRPr="00444804">
        <w:t>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w:t>
      </w:r>
      <w:r w:rsidRPr="00444804">
        <w:t>a</w:t>
      </w:r>
      <w:r w:rsidRPr="00444804">
        <w:t xml:space="preserve">durch bedingten Ausfall der verbundenen Systeme des Marktgebietsverantwortlichen. Ein Anspruch auf </w:t>
      </w:r>
      <w:r w:rsidRPr="0010334C">
        <w:t>Nutzung der webbasierten Kommunikationswege</w:t>
      </w:r>
      <w:r>
        <w:t xml:space="preserve"> </w:t>
      </w:r>
      <w:r w:rsidRPr="0010334C">
        <w:t>besteht in diesen Fällen nicht. Der Marktgebietsverantwortliche wird die betroffenen Bilanzkreisveran</w:t>
      </w:r>
      <w:r w:rsidRPr="0010334C">
        <w:t>t</w:t>
      </w:r>
      <w:r w:rsidRPr="0010334C">
        <w:t>wortlichen in diesen Fällen unverzüglich in geeigneter Weise unterrichten und die Au</w:t>
      </w:r>
      <w:r w:rsidRPr="0010334C">
        <w:t>s</w:t>
      </w:r>
      <w:r w:rsidRPr="0010334C">
        <w:t>wirkungen auf die Bilanzkreisverantwortlichen</w:t>
      </w:r>
      <w:r>
        <w:t xml:space="preserve"> im Rahmen seiner Möglichkeiten min</w:t>
      </w:r>
      <w:r>
        <w:t>i</w:t>
      </w:r>
      <w:r>
        <w:t xml:space="preserve">mieren und </w:t>
      </w:r>
      <w:r w:rsidRPr="00444804">
        <w:t>die Verfügbarkeit der Kommunikationssysteme im Rahmen des wirtschaf</w:t>
      </w:r>
      <w:r w:rsidRPr="00444804">
        <w:t>t</w:t>
      </w:r>
      <w:r w:rsidRPr="00444804">
        <w:t>lich Vertretbaren unverzüglich wiederherstellen</w:t>
      </w:r>
      <w:r>
        <w:t>.</w:t>
      </w:r>
    </w:p>
    <w:p w:rsidR="00C4720C" w:rsidRDefault="00C4720C" w:rsidP="00817985">
      <w:pPr>
        <w:pStyle w:val="BulletPGL2"/>
        <w:numPr>
          <w:ilvl w:val="0"/>
          <w:numId w:val="92"/>
        </w:numPr>
      </w:pPr>
      <w:r w:rsidRPr="00444804">
        <w:t>Die Verarbeitung von Allokationsmeldungen und/oder der Versand an den Bilanzkrei</w:t>
      </w:r>
      <w:r w:rsidRPr="00444804">
        <w:t>s</w:t>
      </w:r>
      <w:r w:rsidRPr="00444804">
        <w:t xml:space="preserve">verantwortlichen kann zeitweilig beschränkt sein im Falle des Eintritts unvorhersehbarer technischer Störungen wie insbesondere </w:t>
      </w:r>
      <w:r>
        <w:t xml:space="preserve">bei </w:t>
      </w:r>
      <w:r w:rsidRPr="00444804">
        <w:t>einem Hardware- und/oder Softwarefehler und einem dadurch bedingten Ausfall der verbundenen Systeme des Marktgebietsv</w:t>
      </w:r>
      <w:r w:rsidRPr="00444804">
        <w:t>e</w:t>
      </w:r>
      <w:r w:rsidRPr="00444804">
        <w:t>rantwortlichen. Der Marktgebietsverantwortliche wird die betroffenen Bilanzkreisveran</w:t>
      </w:r>
      <w:r w:rsidRPr="00444804">
        <w:t>t</w:t>
      </w:r>
      <w:r w:rsidRPr="00444804">
        <w:t>wortlichen in diesen Fällen in geeigneter Weise unterrichten und sich bemühen, die Verfügbarkeit im Rahmen des wirtschaftlich Vertretbaren unverzüglich wiederherzuste</w:t>
      </w:r>
      <w:r w:rsidRPr="00444804">
        <w:t>l</w:t>
      </w:r>
      <w:r w:rsidRPr="00444804">
        <w:t>len.</w:t>
      </w:r>
    </w:p>
    <w:p w:rsidR="00EE5ED5" w:rsidRDefault="00C4720C" w:rsidP="00586F5B">
      <w:pPr>
        <w:pStyle w:val="BulletPGL2"/>
        <w:numPr>
          <w:ilvl w:val="0"/>
          <w:numId w:val="94"/>
        </w:numPr>
      </w:pPr>
      <w:r w:rsidRPr="00444804">
        <w:t>Ferner kann es vorkommen, dass Nominierungen am VHP im Format Edig@s durch den Bilanzkreisverantwortlichen durch den Eintritt unvorhersehbarer technischer St</w:t>
      </w:r>
      <w:r w:rsidRPr="00444804">
        <w:t>ö</w:t>
      </w:r>
      <w:r w:rsidRPr="00444804">
        <w:t>rungen wie insbesondere bei einem Hardware- und/oder Softwarefehler und einem d</w:t>
      </w:r>
      <w:r w:rsidRPr="00444804">
        <w:t>a</w:t>
      </w:r>
      <w:r w:rsidRPr="00444804">
        <w:t>durch bedingten Ausfall oder der verbundenen Systeme des Marktgebietsverantwortl</w:t>
      </w:r>
      <w:r w:rsidRPr="00444804">
        <w:t>i</w:t>
      </w:r>
      <w:r w:rsidRPr="00444804">
        <w:t>chen nicht verarbeitet werden können. Der Marktgebietsverantwortliche wird die betro</w:t>
      </w:r>
      <w:r w:rsidRPr="00444804">
        <w:t>f</w:t>
      </w:r>
      <w:r w:rsidRPr="00444804">
        <w:t>fenen Bilanzkreisverantwortlichen in diesen Fällen in geeigneter Weise unterrichten</w:t>
      </w:r>
      <w:r>
        <w:t>,</w:t>
      </w:r>
      <w:r w:rsidRPr="00EF261E">
        <w:t xml:space="preserve"> </w:t>
      </w:r>
      <w:r>
        <w:t>i</w:t>
      </w:r>
      <w:r>
        <w:t>n</w:t>
      </w:r>
      <w:r>
        <w:t>sbesondere über die weiterhin zur Verfügung stehenden alternativen Nominierung</w:t>
      </w:r>
      <w:r>
        <w:t>s</w:t>
      </w:r>
      <w:r>
        <w:t>möglichkeiten,</w:t>
      </w:r>
      <w:r w:rsidRPr="00444804">
        <w:t xml:space="preserve"> und sich bemühen, die Verfügbarkeit im Rahmen des wirtschaftlich Ve</w:t>
      </w:r>
      <w:r w:rsidRPr="00444804">
        <w:t>r</w:t>
      </w:r>
      <w:r w:rsidRPr="00444804">
        <w:t>tretbaren unverzüglich wiederherzustellen</w:t>
      </w:r>
      <w:r>
        <w:t>.</w:t>
      </w:r>
    </w:p>
    <w:p w:rsidR="007E12F9" w:rsidRDefault="002A416D" w:rsidP="002A416D">
      <w:pPr>
        <w:pStyle w:val="berschrift1"/>
      </w:pPr>
      <w:bookmarkStart w:id="50" w:name="_Toc476824430"/>
      <w:r>
        <w:t xml:space="preserve">§ </w:t>
      </w:r>
      <w:r w:rsidR="00431D15">
        <w:t>2</w:t>
      </w:r>
      <w:r w:rsidR="00D333C1">
        <w:t>7</w:t>
      </w:r>
      <w:r>
        <w:t xml:space="preserve"> </w:t>
      </w:r>
      <w:r w:rsidR="00C4720C">
        <w:t>Veröffentlichungs</w:t>
      </w:r>
      <w:r w:rsidR="007B58DA">
        <w:t>- und Informations</w:t>
      </w:r>
      <w:r w:rsidR="00C4720C">
        <w:t>pflichten des Marktgebietsverantwortl</w:t>
      </w:r>
      <w:r w:rsidR="00C4720C">
        <w:t>i</w:t>
      </w:r>
      <w:r w:rsidR="00C4720C">
        <w:t>chen</w:t>
      </w:r>
      <w:bookmarkEnd w:id="50"/>
    </w:p>
    <w:p w:rsidR="00C4720C" w:rsidRPr="00E94F1E" w:rsidRDefault="00C4720C" w:rsidP="00931D2D">
      <w:pPr>
        <w:pStyle w:val="Gliederung1"/>
        <w:numPr>
          <w:ilvl w:val="0"/>
          <w:numId w:val="89"/>
        </w:numPr>
        <w:rPr>
          <w:b w:val="0"/>
        </w:rPr>
      </w:pPr>
      <w:r w:rsidRPr="00E94F1E">
        <w:rPr>
          <w:b w:val="0"/>
        </w:rPr>
        <w:t>Der Marktgebietsverantwortliche veröffentlicht die folgenden Informationen in einem für die elektronische Weiterverarbeitung durch Standardsoftware nutzbaren Format auf seiner Internetseite:</w:t>
      </w:r>
    </w:p>
    <w:p w:rsidR="00931D2D" w:rsidRDefault="00B72C85" w:rsidP="00931D2D">
      <w:pPr>
        <w:pStyle w:val="Listenabsatz"/>
        <w:numPr>
          <w:ilvl w:val="1"/>
          <w:numId w:val="22"/>
        </w:numPr>
        <w:ind w:left="851"/>
      </w:pPr>
      <w:r>
        <w:t xml:space="preserve">Entgelte, Beiträge und Umlagen: </w:t>
      </w:r>
    </w:p>
    <w:p w:rsidR="00BC7A4E" w:rsidRDefault="00BC7A4E" w:rsidP="00931D2D">
      <w:pPr>
        <w:pStyle w:val="Listenabsatz"/>
        <w:numPr>
          <w:ilvl w:val="0"/>
          <w:numId w:val="105"/>
        </w:numPr>
      </w:pPr>
      <w:r w:rsidRPr="00BC7A4E">
        <w:t xml:space="preserve">Die Bilanzierungsumlagen </w:t>
      </w:r>
      <w:r>
        <w:t xml:space="preserve">(EUR/MWh) </w:t>
      </w:r>
      <w:r w:rsidRPr="00BC7A4E">
        <w:t>sowie die Entscheidung bezüglich einer möglichen Ausschüttung sechs Wochen vor Beginn des jeweiligen Geltungszei</w:t>
      </w:r>
      <w:r w:rsidRPr="00BC7A4E">
        <w:t>t</w:t>
      </w:r>
      <w:r w:rsidRPr="00BC7A4E">
        <w:t>raums. Die Berechnungsgrundlage und -systematik zur Prognose der Bilanzi</w:t>
      </w:r>
      <w:r w:rsidRPr="00BC7A4E">
        <w:t>e</w:t>
      </w:r>
      <w:r w:rsidRPr="00BC7A4E">
        <w:t>rungsumlagen sowie der Ausschüttungen.</w:t>
      </w:r>
    </w:p>
    <w:p w:rsidR="00931D2D" w:rsidRDefault="003B49E7" w:rsidP="00FB4C9F">
      <w:pPr>
        <w:pStyle w:val="Listenabsatz"/>
        <w:numPr>
          <w:ilvl w:val="0"/>
          <w:numId w:val="105"/>
        </w:numPr>
      </w:pPr>
      <w:r>
        <w:t>Flexibilitätskostenbeitrag</w:t>
      </w:r>
      <w:r w:rsidR="00C4720C" w:rsidRPr="0031642F">
        <w:t xml:space="preserve">, </w:t>
      </w:r>
      <w:r w:rsidR="00B72C85" w:rsidRPr="00A227F9">
        <w:t xml:space="preserve">in EUR/MWh, inklusive der Methodik zur Berechnung des </w:t>
      </w:r>
      <w:r>
        <w:t>Flexibilitätskostenbeitrags</w:t>
      </w:r>
    </w:p>
    <w:p w:rsidR="00243A19" w:rsidRDefault="00C4720C" w:rsidP="00FB4C9F">
      <w:pPr>
        <w:pStyle w:val="Listenabsatz"/>
        <w:numPr>
          <w:ilvl w:val="0"/>
          <w:numId w:val="105"/>
        </w:numPr>
      </w:pPr>
      <w:r w:rsidRPr="0031642F">
        <w:t>Konvertierungsentgelt</w:t>
      </w:r>
      <w:r w:rsidR="00B72C85">
        <w:t xml:space="preserve"> </w:t>
      </w:r>
      <w:r w:rsidR="006E4545">
        <w:t xml:space="preserve">(EUR/MWh) </w:t>
      </w:r>
      <w:r w:rsidR="00B72C85">
        <w:t>und</w:t>
      </w:r>
      <w:r w:rsidRPr="0031642F">
        <w:t xml:space="preserve"> Konvertierungsumlage</w:t>
      </w:r>
      <w:r w:rsidR="006E4545">
        <w:t xml:space="preserve"> (EUR/MWh)</w:t>
      </w:r>
      <w:r w:rsidR="00B72C85">
        <w:t>:</w:t>
      </w:r>
      <w:r w:rsidR="004F24AB" w:rsidRPr="004F24AB">
        <w:t xml:space="preserve"> </w:t>
      </w:r>
    </w:p>
    <w:p w:rsidR="00627D79" w:rsidRDefault="00627D79" w:rsidP="00C90341">
      <w:pPr>
        <w:pStyle w:val="Listenabsatz"/>
        <w:numPr>
          <w:ilvl w:val="0"/>
          <w:numId w:val="93"/>
        </w:numPr>
        <w:ind w:left="1560"/>
      </w:pPr>
      <w:r w:rsidRPr="004F24AB">
        <w:t xml:space="preserve">Konvertierungsentgelt </w:t>
      </w:r>
      <w:r w:rsidR="007D070D">
        <w:t xml:space="preserve">sowie die Entscheidung bezüglich einer möglichen Ausschüttung sind </w:t>
      </w:r>
      <w:r w:rsidRPr="004F24AB">
        <w:t>mindestens sechs Wochen vor Beginn des jeweiligen</w:t>
      </w:r>
      <w:r w:rsidRPr="00A227F9">
        <w:t xml:space="preserve"> </w:t>
      </w:r>
      <w:r w:rsidRPr="004F24AB">
        <w:t>Ge</w:t>
      </w:r>
      <w:r w:rsidRPr="004F24AB">
        <w:t>l</w:t>
      </w:r>
      <w:r w:rsidRPr="004F24AB">
        <w:t>tungszeitraums</w:t>
      </w:r>
      <w:r w:rsidR="007D070D">
        <w:t xml:space="preserve"> zu veröffentlichen</w:t>
      </w:r>
      <w:r w:rsidR="00C5165D">
        <w:t>.</w:t>
      </w:r>
      <w:r w:rsidR="007D070D">
        <w:t xml:space="preserve"> Bei einer Anpassung des Konvertierung</w:t>
      </w:r>
      <w:r w:rsidR="007D070D">
        <w:t>s</w:t>
      </w:r>
      <w:r w:rsidR="007D070D">
        <w:t>entgelts innerhalb des Geltungszeitraums ist mit der Vorlage der beabsichti</w:t>
      </w:r>
      <w:r w:rsidR="007D070D">
        <w:t>g</w:t>
      </w:r>
      <w:r w:rsidR="007D070D">
        <w:t>ten Anpassung des Konvertierungsentgelts zur Genehmigung bei</w:t>
      </w:r>
      <w:r w:rsidR="00C5165D">
        <w:t xml:space="preserve"> </w:t>
      </w:r>
      <w:r w:rsidR="007D070D">
        <w:t>der B</w:t>
      </w:r>
      <w:r w:rsidR="007D070D">
        <w:t>e</w:t>
      </w:r>
      <w:r w:rsidR="007D070D">
        <w:t>schlusskammer 7 der Bundesnetzagentur gemäß § 2</w:t>
      </w:r>
      <w:r w:rsidR="00D333C1">
        <w:t>3</w:t>
      </w:r>
      <w:r w:rsidR="007D070D">
        <w:t xml:space="preserve"> </w:t>
      </w:r>
      <w:r w:rsidR="00787747">
        <w:t>Ziffer</w:t>
      </w:r>
      <w:r w:rsidR="007D070D">
        <w:t xml:space="preserve"> 2 unverzüglich eine Information über diese beabsichtigte Anpassung zu veröffentlichen</w:t>
      </w:r>
      <w:r w:rsidRPr="004F24AB">
        <w:t>.</w:t>
      </w:r>
      <w:r w:rsidR="0038232E">
        <w:t xml:space="preserve"> Bei einer Anpassung des Konvertierungsentgelts gemäß § 2</w:t>
      </w:r>
      <w:r w:rsidR="00D333C1">
        <w:t>3</w:t>
      </w:r>
      <w:r w:rsidR="0038232E">
        <w:t xml:space="preserve"> </w:t>
      </w:r>
      <w:r w:rsidR="00787747">
        <w:t>Ziffer</w:t>
      </w:r>
      <w:r w:rsidR="0038232E">
        <w:t xml:space="preserve"> 2 hat die Veröffentlichung des Konvertierungsentgelts mindestens zwei Kalendertage vor Inkrafttreten der Anpassung des Konvertierungsentgelts zu erfolgen.</w:t>
      </w:r>
      <w:r w:rsidR="00C134C9">
        <w:t xml:space="preserve"> </w:t>
      </w:r>
    </w:p>
    <w:p w:rsidR="004F24AB" w:rsidRDefault="004F24AB" w:rsidP="00C90341">
      <w:pPr>
        <w:pStyle w:val="Listenabsatz"/>
        <w:numPr>
          <w:ilvl w:val="0"/>
          <w:numId w:val="93"/>
        </w:numPr>
        <w:ind w:left="1560"/>
      </w:pPr>
      <w:r w:rsidRPr="00924F81">
        <w:t>Die Konvertierungsumlage mindestens sechs Wochen vor Beginn des jewe</w:t>
      </w:r>
      <w:r w:rsidRPr="00924F81">
        <w:t>i</w:t>
      </w:r>
      <w:r w:rsidRPr="00924F81">
        <w:t>ligen</w:t>
      </w:r>
      <w:r w:rsidRPr="00A227F9">
        <w:t xml:space="preserve"> </w:t>
      </w:r>
      <w:r w:rsidRPr="00924F81">
        <w:t>Geltungszeitraums.</w:t>
      </w:r>
    </w:p>
    <w:p w:rsidR="004F24AB" w:rsidRDefault="004F24AB" w:rsidP="00C90341">
      <w:pPr>
        <w:pStyle w:val="Listenabsatz"/>
        <w:numPr>
          <w:ilvl w:val="0"/>
          <w:numId w:val="93"/>
        </w:numPr>
        <w:ind w:left="1560"/>
      </w:pPr>
      <w:r w:rsidRPr="004F24AB">
        <w:t>Die Berechnungsgrundlage und -schritte zur Prognose des Konvertierung</w:t>
      </w:r>
      <w:r w:rsidRPr="004F24AB">
        <w:t>s</w:t>
      </w:r>
      <w:r w:rsidRPr="004F24AB">
        <w:t>entgelts</w:t>
      </w:r>
      <w:r w:rsidRPr="00A227F9">
        <w:t xml:space="preserve"> </w:t>
      </w:r>
      <w:r w:rsidRPr="004F24AB">
        <w:t>und der Konvertierungsumlage.</w:t>
      </w:r>
      <w:r w:rsidR="00C92821">
        <w:t xml:space="preserve"> </w:t>
      </w:r>
    </w:p>
    <w:p w:rsidR="004F24AB" w:rsidRDefault="004F24AB" w:rsidP="00C90341">
      <w:pPr>
        <w:pStyle w:val="Listenabsatz"/>
        <w:numPr>
          <w:ilvl w:val="0"/>
          <w:numId w:val="93"/>
        </w:numPr>
        <w:ind w:left="1560"/>
      </w:pPr>
      <w:r w:rsidRPr="004F24AB">
        <w:t>Den monatlichen Saldo des Konvertierungskontos</w:t>
      </w:r>
      <w:r w:rsidR="000D6641">
        <w:t xml:space="preserve"> spätestens fünf Werktage nach Abschluss des jeweiligen Monats auf Basis vorläufiger Daten. Sobald alle für die Veröffentlichung</w:t>
      </w:r>
      <w:r w:rsidRPr="00A227F9">
        <w:t xml:space="preserve"> </w:t>
      </w:r>
      <w:r w:rsidRPr="004F24AB">
        <w:t>eines Abrechnungsmonats erforderlichen endgü</w:t>
      </w:r>
      <w:r w:rsidRPr="004F24AB">
        <w:t>l</w:t>
      </w:r>
      <w:r w:rsidRPr="004F24AB">
        <w:t>tigen Werte</w:t>
      </w:r>
      <w:r w:rsidRPr="00A227F9">
        <w:t xml:space="preserve"> </w:t>
      </w:r>
      <w:r w:rsidRPr="004F24AB">
        <w:t>vorliegen</w:t>
      </w:r>
      <w:r w:rsidR="000D6641">
        <w:t xml:space="preserve">, eine Aktualisierung der vorläufigen Daten durch die endgültigen Werte. </w:t>
      </w:r>
      <w:r w:rsidRPr="004F24AB">
        <w:t>Bei der Veröffentlichung sind für alle gemäß §</w:t>
      </w:r>
      <w:r w:rsidRPr="00A227F9">
        <w:t> </w:t>
      </w:r>
      <w:r w:rsidR="003B49E7">
        <w:t>2</w:t>
      </w:r>
      <w:r w:rsidR="00D333C1">
        <w:t>4</w:t>
      </w:r>
      <w:r w:rsidRPr="004F24AB">
        <w:t xml:space="preserve"> Ziff</w:t>
      </w:r>
      <w:r w:rsidRPr="00A227F9">
        <w:t>er </w:t>
      </w:r>
      <w:r w:rsidRPr="004F24AB">
        <w:t>2</w:t>
      </w:r>
      <w:r w:rsidRPr="00A227F9">
        <w:t>.</w:t>
      </w:r>
      <w:r w:rsidRPr="004F24AB">
        <w:t xml:space="preserve"> auf das Konto zu buchenden Posten die jeweiligen</w:t>
      </w:r>
      <w:r w:rsidRPr="00A227F9">
        <w:t xml:space="preserve"> </w:t>
      </w:r>
      <w:r w:rsidRPr="004F24AB">
        <w:t>Monatsbeträge separat auszuweisen.</w:t>
      </w:r>
    </w:p>
    <w:p w:rsidR="00931D2D" w:rsidRDefault="004F24AB" w:rsidP="00C90341">
      <w:pPr>
        <w:pStyle w:val="Listenabsatz"/>
        <w:numPr>
          <w:ilvl w:val="0"/>
          <w:numId w:val="93"/>
        </w:numPr>
        <w:ind w:left="1560"/>
      </w:pPr>
      <w:r w:rsidRPr="004F24AB">
        <w:t>Informationen zu Umfang und Preis der zum Zwecke der physischen Konve</w:t>
      </w:r>
      <w:r w:rsidRPr="004F24AB">
        <w:t>r</w:t>
      </w:r>
      <w:r w:rsidRPr="004F24AB">
        <w:t>tierung eingesetzten Maßnahmen unterschieden nach kommerziellen und technischen Maßnahmen</w:t>
      </w:r>
      <w:r w:rsidR="000D6641">
        <w:t xml:space="preserve"> spätestens fünf Werktage nach Abschluss des j</w:t>
      </w:r>
      <w:r w:rsidR="000D6641">
        <w:t>e</w:t>
      </w:r>
      <w:r w:rsidR="000D6641">
        <w:t>weiligen Monats a</w:t>
      </w:r>
      <w:r w:rsidR="00C5165D">
        <w:t>u</w:t>
      </w:r>
      <w:r w:rsidR="000D6641">
        <w:t>f Basis vorläufiger Daten.</w:t>
      </w:r>
      <w:r w:rsidRPr="004F24AB">
        <w:t xml:space="preserve"> </w:t>
      </w:r>
      <w:r w:rsidR="000D6641">
        <w:t>S</w:t>
      </w:r>
      <w:r w:rsidRPr="004F24AB">
        <w:t>obald alle für die Veröffentl</w:t>
      </w:r>
      <w:r w:rsidRPr="004F24AB">
        <w:t>i</w:t>
      </w:r>
      <w:r w:rsidRPr="004F24AB">
        <w:t>chung eines Abrechnungsmonats erforderlichen, endgültigen Werte vorli</w:t>
      </w:r>
      <w:r w:rsidRPr="004F24AB">
        <w:t>e</w:t>
      </w:r>
      <w:r w:rsidRPr="004F24AB">
        <w:t>gen</w:t>
      </w:r>
      <w:r w:rsidR="000D6641">
        <w:t>, eine Aktualisierung der vorläufigen Daten durch die endgültigen Werte.</w:t>
      </w:r>
    </w:p>
    <w:p w:rsidR="007D070D" w:rsidRDefault="00C5165D" w:rsidP="00C90341">
      <w:pPr>
        <w:pStyle w:val="Listenabsatz"/>
        <w:numPr>
          <w:ilvl w:val="0"/>
          <w:numId w:val="93"/>
        </w:numPr>
        <w:ind w:left="1560"/>
      </w:pPr>
      <w:r>
        <w:t>D</w:t>
      </w:r>
      <w:r w:rsidR="000D6641">
        <w:t>ie täglichen vorläufigen bilanziellen Mengen je Konvertierungsrichtung. S</w:t>
      </w:r>
      <w:r w:rsidR="000D6641">
        <w:t>o</w:t>
      </w:r>
      <w:r w:rsidR="000D6641">
        <w:t xml:space="preserve">bald alle für die Veröffentlichung erforderlichen endgültigen Werte vorliegen, eine Aktualisierung der vorläufigen Daten durch die endgültigen Werte. </w:t>
      </w:r>
    </w:p>
    <w:p w:rsidR="00931D2D" w:rsidRDefault="00C4720C" w:rsidP="00931D2D">
      <w:pPr>
        <w:pStyle w:val="Listenabsatz"/>
        <w:numPr>
          <w:ilvl w:val="0"/>
          <w:numId w:val="104"/>
        </w:numPr>
        <w:tabs>
          <w:tab w:val="clear" w:pos="1418"/>
          <w:tab w:val="num" w:pos="1246"/>
        </w:tabs>
        <w:ind w:left="1276" w:hanging="425"/>
      </w:pPr>
      <w:r w:rsidRPr="0031642F">
        <w:t xml:space="preserve">VHP-Entgelt, </w:t>
      </w:r>
      <w:r w:rsidR="005E3984" w:rsidRPr="00531DB8">
        <w:t>in EUR/MWh und ct/MWh als Klammerzusatz, einen Monat vor Beginn des Geltungszeitraums</w:t>
      </w:r>
      <w:r w:rsidR="001A14BD">
        <w:t xml:space="preserve"> gemäß</w:t>
      </w:r>
      <w:r w:rsidR="005E3984" w:rsidRPr="00531DB8">
        <w:t xml:space="preserve"> § </w:t>
      </w:r>
      <w:r w:rsidR="003B49E7">
        <w:t>9</w:t>
      </w:r>
      <w:r w:rsidR="005E3984" w:rsidRPr="00531DB8">
        <w:t xml:space="preserve"> Ziffer 3.</w:t>
      </w:r>
    </w:p>
    <w:p w:rsidR="00C90341" w:rsidRDefault="00C4720C" w:rsidP="00C90341">
      <w:pPr>
        <w:pStyle w:val="Listenabsatz"/>
        <w:numPr>
          <w:ilvl w:val="0"/>
          <w:numId w:val="104"/>
        </w:numPr>
      </w:pPr>
      <w:r w:rsidRPr="0031642F">
        <w:t>Differenzmengenentgelt</w:t>
      </w:r>
      <w:r w:rsidR="00E66C6B">
        <w:t xml:space="preserve"> (EUR/MWh)</w:t>
      </w:r>
      <w:r w:rsidR="001A14BD">
        <w:t xml:space="preserve"> gemäß</w:t>
      </w:r>
      <w:r w:rsidR="005E3984" w:rsidRPr="00531DB8">
        <w:t xml:space="preserve"> § </w:t>
      </w:r>
      <w:r w:rsidR="003B49E7">
        <w:t>15</w:t>
      </w:r>
      <w:r w:rsidR="005E3984" w:rsidRPr="00531DB8">
        <w:t xml:space="preserve"> Ziffer 3</w:t>
      </w:r>
      <w:r w:rsidR="005E3984" w:rsidRPr="0031642F">
        <w:t>.</w:t>
      </w:r>
    </w:p>
    <w:p w:rsidR="00C4720C" w:rsidRDefault="00C4720C" w:rsidP="00931D2D">
      <w:pPr>
        <w:pStyle w:val="Listenabsatz"/>
        <w:numPr>
          <w:ilvl w:val="1"/>
          <w:numId w:val="22"/>
        </w:numPr>
        <w:ind w:left="851"/>
      </w:pPr>
      <w:r w:rsidRPr="00663252">
        <w:t>Die Methodik zur Berechnung der Ausgleichsenergieentgelte, die verwendeten Au</w:t>
      </w:r>
      <w:r w:rsidRPr="00663252">
        <w:t>s</w:t>
      </w:r>
      <w:r w:rsidRPr="00663252">
        <w:t>gleichsenergieentgelte nach Beendigung der Bilanzierungsperiode sowie die Info</w:t>
      </w:r>
      <w:r w:rsidRPr="00663252">
        <w:t>r</w:t>
      </w:r>
      <w:r w:rsidRPr="00663252">
        <w:t>mationen zur Ermittlung der täglichen positiven und negativen Ausgleichsenergi</w:t>
      </w:r>
      <w:r w:rsidRPr="00663252">
        <w:t>e</w:t>
      </w:r>
      <w:r w:rsidRPr="00663252">
        <w:t>preise unter Berücksichtigung der gemäß § 40 Abs. 2 Ziff</w:t>
      </w:r>
      <w:r>
        <w:t>ern</w:t>
      </w:r>
      <w:r w:rsidRPr="00663252">
        <w:t xml:space="preserve"> 1 und 2 GasNZV no</w:t>
      </w:r>
      <w:r w:rsidRPr="00663252">
        <w:t>t</w:t>
      </w:r>
      <w:r w:rsidRPr="00663252">
        <w:t>wendigen Informationen, insbesondere unverzüglich nach jedem Handelsgeschäft die Entwicklung des Grenzankaufspreises und des Grenzverkaufspreises. Dies b</w:t>
      </w:r>
      <w:r w:rsidRPr="00663252">
        <w:t>e</w:t>
      </w:r>
      <w:r w:rsidRPr="00663252">
        <w:t>inhaltet die für die Herleitung erforderlichen Informationen, wie den höchsten Rege</w:t>
      </w:r>
      <w:r w:rsidRPr="00663252">
        <w:t>l</w:t>
      </w:r>
      <w:r w:rsidRPr="00663252">
        <w:t>energieeinkaufspreis, den niedrigsten Regelenergieverkaufspreis, den menge</w:t>
      </w:r>
      <w:r w:rsidRPr="00663252">
        <w:t>n</w:t>
      </w:r>
      <w:r w:rsidRPr="00663252">
        <w:t>gewichteten Durchschnittspreis mit einer Anpassung von +/- 2</w:t>
      </w:r>
      <w:r>
        <w:t xml:space="preserve"> Prozent</w:t>
      </w:r>
      <w:r w:rsidRPr="00663252">
        <w:t xml:space="preserve"> sowie, stün</w:t>
      </w:r>
      <w:r w:rsidRPr="00663252">
        <w:t>d</w:t>
      </w:r>
      <w:r w:rsidRPr="00663252">
        <w:t>lich aktualisiert, die voraussichtlichen Ausgleichsenergiepreise. Die</w:t>
      </w:r>
      <w:r>
        <w:t xml:space="preserve"> Informationen zu den Tageswerten </w:t>
      </w:r>
      <w:r w:rsidRPr="00663252">
        <w:t xml:space="preserve">sind rückwirkend </w:t>
      </w:r>
      <w:r>
        <w:t xml:space="preserve">mindestens </w:t>
      </w:r>
      <w:r w:rsidRPr="00663252">
        <w:t>für die letzten 12 Monate vorzuha</w:t>
      </w:r>
      <w:r w:rsidRPr="00663252">
        <w:t>l</w:t>
      </w:r>
      <w:r w:rsidRPr="00663252">
        <w:t>ten.</w:t>
      </w:r>
    </w:p>
    <w:p w:rsidR="0079064E" w:rsidRDefault="00C4720C" w:rsidP="00931D2D">
      <w:pPr>
        <w:pStyle w:val="Listenabsatz"/>
        <w:numPr>
          <w:ilvl w:val="1"/>
          <w:numId w:val="22"/>
        </w:numPr>
        <w:ind w:left="851"/>
      </w:pPr>
      <w:r w:rsidRPr="00663252">
        <w:t>Informationen über den Einsatz von interner und externer Regelenergie rückwirkend auf täglicher Basis und für mindestens 12 Monate. Für den Einsatz externer Rege</w:t>
      </w:r>
      <w:r w:rsidRPr="00663252">
        <w:t>l</w:t>
      </w:r>
      <w:r w:rsidRPr="00663252">
        <w:t>energie sind insbesondere folgende Informationen zu veröffentlichen: Einsatztag, Lieferort,</w:t>
      </w:r>
      <w:r>
        <w:t xml:space="preserve"> Transportkosten,</w:t>
      </w:r>
      <w:r w:rsidRPr="00663252">
        <w:t xml:space="preserve"> MOL-Rang, Einsatzdauer, Losgröße, Menge, Gasqualität und Arbeitspreis. Für den Einsatz von MOL Rang 4-Produkten sind darüber hinaus auch Informationen zu Produktart, Netzbereich</w:t>
      </w:r>
      <w:r>
        <w:t>/Lokation</w:t>
      </w:r>
      <w:r w:rsidRPr="00663252">
        <w:t>, Losgröße, Zeitraum, Preis und Gasqualität der kontrahierten Dienstleistung zu veröffentlichen.</w:t>
      </w:r>
      <w:r>
        <w:t xml:space="preserve"> Zudem sind I</w:t>
      </w:r>
      <w:r>
        <w:t>n</w:t>
      </w:r>
      <w:r>
        <w:t>formationen zu Kosten und Laufzeit der für die Beschaffung von Regelenergie in a</w:t>
      </w:r>
      <w:r>
        <w:t>n</w:t>
      </w:r>
      <w:r>
        <w:t>grenzenden Marktgebieten kontrahierten Kapazitäten zu veröffentlichen.</w:t>
      </w:r>
    </w:p>
    <w:p w:rsidR="0079064E" w:rsidRDefault="008E5E1E" w:rsidP="00931D2D">
      <w:pPr>
        <w:pStyle w:val="Listenabsatz"/>
        <w:numPr>
          <w:ilvl w:val="1"/>
          <w:numId w:val="22"/>
        </w:numPr>
        <w:ind w:left="851"/>
      </w:pPr>
      <w:r w:rsidRPr="00663252">
        <w:t>Die monatlichen Salden der Bilanzierungsumlagekonten, sobald alle für die Verö</w:t>
      </w:r>
      <w:r w:rsidRPr="00663252">
        <w:t>f</w:t>
      </w:r>
      <w:r w:rsidRPr="00663252">
        <w:t xml:space="preserve">fentlichung eines Abrechnungsmonats erforderlichen Werte vorliegen. </w:t>
      </w:r>
      <w:r>
        <w:t>Alle nach dem jährlichen Verteilungsschlüssel aufzuteilenden Kosten- und Erlösbestandteile we</w:t>
      </w:r>
      <w:r>
        <w:t>r</w:t>
      </w:r>
      <w:r>
        <w:t>den zum Zweck der Veröffentlichung vorläufig nach dem Verteilungsschlüssel des Vorjahres den beiden Bilanzierungsumlagekonten zugerechnet. Nach Vorliegen des ex post ermittelten jährlichen Verteilungsschlüssels findet eine nachträgliche Korre</w:t>
      </w:r>
      <w:r>
        <w:t>k</w:t>
      </w:r>
      <w:r>
        <w:t xml:space="preserve">tur der Veröffentlichung der nach dem jährlichen Verteilungsschlüssel aufzuteilenden Kosten- und Erlöspositionen statt. </w:t>
      </w:r>
      <w:r w:rsidRPr="00663252">
        <w:t>Bei der Veröffentlichung sind alle Kosten- und E</w:t>
      </w:r>
      <w:r w:rsidRPr="00663252">
        <w:t>r</w:t>
      </w:r>
      <w:r w:rsidRPr="00663252">
        <w:t xml:space="preserve">löspositionen </w:t>
      </w:r>
      <w:r>
        <w:t xml:space="preserve">sowie die Liquiditätspuffer </w:t>
      </w:r>
      <w:r w:rsidRPr="00663252">
        <w:t>der Bilanzierungsumlagekonten separat auszuweisen.</w:t>
      </w:r>
    </w:p>
    <w:p w:rsidR="00444B95" w:rsidRDefault="00C4720C" w:rsidP="00931D2D">
      <w:pPr>
        <w:pStyle w:val="Listenabsatz"/>
        <w:numPr>
          <w:ilvl w:val="1"/>
          <w:numId w:val="22"/>
        </w:numPr>
        <w:ind w:left="851"/>
      </w:pPr>
      <w:r>
        <w:t>J</w:t>
      </w:r>
      <w:r w:rsidRPr="008E5E1E">
        <w:t>eweils eine aussag</w:t>
      </w:r>
      <w:r>
        <w:t>e</w:t>
      </w:r>
      <w:r w:rsidRPr="008E5E1E">
        <w:t xml:space="preserve">kräftige Zusammenfassung der Berichte und Evaluierungen zeitnah nach ihrer Übermittlung an die </w:t>
      </w:r>
      <w:r>
        <w:t>Bundesnetzagentur.</w:t>
      </w:r>
    </w:p>
    <w:p w:rsidR="007B58DA" w:rsidRPr="00964C52" w:rsidRDefault="007B58DA" w:rsidP="00964C52">
      <w:pPr>
        <w:pStyle w:val="Listenabsatz"/>
        <w:numPr>
          <w:ilvl w:val="0"/>
          <w:numId w:val="89"/>
        </w:numPr>
      </w:pPr>
      <w:r w:rsidRPr="00964C52">
        <w:rPr>
          <w:rFonts w:cs="Arial"/>
          <w:iCs/>
        </w:rPr>
        <w:t>Sofern der Marktgebietsverantwortliche ein DSM-Regelenergieprodukt mit dem Bilan</w:t>
      </w:r>
      <w:r w:rsidRPr="00964C52">
        <w:rPr>
          <w:rFonts w:cs="Arial"/>
          <w:iCs/>
        </w:rPr>
        <w:t>z</w:t>
      </w:r>
      <w:r w:rsidR="008D4847" w:rsidRPr="008D4847">
        <w:rPr>
          <w:rFonts w:cs="Arial"/>
          <w:iCs/>
        </w:rPr>
        <w:t>kreisverantwortlichen kontrahiert hat, teilt er dem Bilanzkreisverantwortlichen im Falle des Abrufes die Art des abgerufenen DSM-Regelenergieproduktes sowie die Dauer und den Umfang des Abrufs per elektronische</w:t>
      </w:r>
      <w:r w:rsidR="001F039E">
        <w:rPr>
          <w:rFonts w:cs="Arial"/>
          <w:iCs/>
        </w:rPr>
        <w:t>n</w:t>
      </w:r>
      <w:r w:rsidR="008D4847" w:rsidRPr="008D4847">
        <w:rPr>
          <w:rFonts w:cs="Arial"/>
          <w:iCs/>
        </w:rPr>
        <w:t xml:space="preserve"> Datenformat REQEST mit. Der Bilanzkrei</w:t>
      </w:r>
      <w:r w:rsidR="008D4847" w:rsidRPr="008D4847">
        <w:rPr>
          <w:rFonts w:cs="Arial"/>
          <w:iCs/>
        </w:rPr>
        <w:t>s</w:t>
      </w:r>
      <w:r w:rsidR="008D4847" w:rsidRPr="008D4847">
        <w:rPr>
          <w:rFonts w:cs="Arial"/>
          <w:iCs/>
        </w:rPr>
        <w:t>verantwortliche gibt unverzüglich nach der Kontrahierung die Art des kontrahierten DSM-Regelenergieproduktes sowie im Falle des Abrufes die Dauer und den Umfang des Abrufes an die betroffenen Transportkunden weiter. Der Bilanzkreisverantwortliche versichert, dass er mit dem jeweils betroffenen Transportkunden eine Vereinbarung g</w:t>
      </w:r>
      <w:r w:rsidR="008D4847" w:rsidRPr="008D4847">
        <w:rPr>
          <w:rFonts w:cs="Arial"/>
          <w:iCs/>
        </w:rPr>
        <w:t>e</w:t>
      </w:r>
      <w:r w:rsidR="008D4847" w:rsidRPr="008D4847">
        <w:rPr>
          <w:rFonts w:cs="Arial"/>
          <w:iCs/>
        </w:rPr>
        <w:t>troffen hat, die den Transportkunden verpflichtet, den jeweils betroffenen Ausspeis</w:t>
      </w:r>
      <w:r w:rsidR="008D4847" w:rsidRPr="008D4847">
        <w:rPr>
          <w:rFonts w:cs="Arial"/>
          <w:iCs/>
        </w:rPr>
        <w:t>e</w:t>
      </w:r>
      <w:r w:rsidR="008D4847" w:rsidRPr="008D4847">
        <w:rPr>
          <w:rFonts w:cs="Arial"/>
          <w:iCs/>
        </w:rPr>
        <w:t>netzbetreiber über die Art des kontrahierten und gegebenenfalls abgerufenen DSM-Regelenergieproduktes sowie die Dauer und den Umfang des Abrufs unverzüglich zu informieren.</w:t>
      </w:r>
    </w:p>
    <w:p w:rsidR="00CE1213" w:rsidRPr="00E9716F" w:rsidRDefault="002A416D" w:rsidP="002A416D">
      <w:pPr>
        <w:pStyle w:val="berschrift1"/>
      </w:pPr>
      <w:bookmarkStart w:id="51" w:name="_Toc476824431"/>
      <w:r>
        <w:t xml:space="preserve">§ </w:t>
      </w:r>
      <w:r w:rsidR="00431D15">
        <w:t>2</w:t>
      </w:r>
      <w:r w:rsidR="00D333C1">
        <w:t>8</w:t>
      </w:r>
      <w:r>
        <w:t xml:space="preserve"> </w:t>
      </w:r>
      <w:r w:rsidR="00CE1213" w:rsidRPr="00E9716F">
        <w:t>Sicherheitsleistung</w:t>
      </w:r>
      <w:bookmarkEnd w:id="47"/>
      <w:bookmarkEnd w:id="51"/>
    </w:p>
    <w:bookmarkEnd w:id="48"/>
    <w:p w:rsidR="003D27DE" w:rsidRDefault="000C482C" w:rsidP="00817985">
      <w:pPr>
        <w:numPr>
          <w:ilvl w:val="0"/>
          <w:numId w:val="56"/>
        </w:numPr>
      </w:pPr>
      <w:r w:rsidRPr="00A30246">
        <w:t xml:space="preserve">Der </w:t>
      </w:r>
      <w:r>
        <w:t>Marktgebietsverantwortliche</w:t>
      </w:r>
      <w:r w:rsidRPr="00A30246">
        <w:t xml:space="preserve"> kann in begründeten Fällen für alle </w:t>
      </w:r>
      <w:r w:rsidR="0031580E">
        <w:t>Zahlungsa</w:t>
      </w:r>
      <w:r w:rsidRPr="00A30246">
        <w:t>nspr</w:t>
      </w:r>
      <w:r w:rsidRPr="00A30246">
        <w:t>ü</w:t>
      </w:r>
      <w:r w:rsidRPr="00A30246">
        <w:t xml:space="preserve">che aus </w:t>
      </w:r>
      <w:r w:rsidR="00E819A7">
        <w:t xml:space="preserve">dem Bilanzkreisvertrag </w:t>
      </w:r>
      <w:r w:rsidRPr="00A30246">
        <w:t xml:space="preserve">eine angemessene Sicherheitsleistung oder </w:t>
      </w:r>
      <w:r w:rsidR="001E0EE0">
        <w:t xml:space="preserve">eine </w:t>
      </w:r>
      <w:r w:rsidRPr="00A30246">
        <w:t>V</w:t>
      </w:r>
      <w:r w:rsidRPr="00A30246">
        <w:t>o</w:t>
      </w:r>
      <w:r w:rsidRPr="00A30246">
        <w:t>rauszahlung</w:t>
      </w:r>
      <w:r w:rsidR="001E0EE0">
        <w:t xml:space="preserve"> </w:t>
      </w:r>
      <w:r w:rsidR="001E0EE0" w:rsidRPr="00ED15E3">
        <w:t xml:space="preserve">nach </w:t>
      </w:r>
      <w:r w:rsidR="00ED15E3" w:rsidRPr="00ED15E3">
        <w:t xml:space="preserve">§ </w:t>
      </w:r>
      <w:r w:rsidR="00D333C1">
        <w:t>29</w:t>
      </w:r>
      <w:r w:rsidRPr="00A30246">
        <w:t xml:space="preserve"> verlangen.</w:t>
      </w:r>
      <w:r w:rsidR="0031580E" w:rsidRPr="0028531B">
        <w:rPr>
          <w:rFonts w:cs="Arial"/>
          <w:szCs w:val="22"/>
        </w:rPr>
        <w:t xml:space="preserve"> </w:t>
      </w:r>
      <w:r w:rsidR="0031580E" w:rsidRPr="00677112">
        <w:rPr>
          <w:rFonts w:cs="Arial"/>
          <w:bCs/>
          <w:szCs w:val="22"/>
        </w:rPr>
        <w:t>Die Sicherheit</w:t>
      </w:r>
      <w:r w:rsidR="001E0EE0">
        <w:rPr>
          <w:rFonts w:cs="Arial"/>
          <w:bCs/>
          <w:szCs w:val="22"/>
        </w:rPr>
        <w:t>sleistung</w:t>
      </w:r>
      <w:r w:rsidR="0031580E" w:rsidRPr="00677112">
        <w:rPr>
          <w:rFonts w:cs="Arial"/>
          <w:bCs/>
          <w:szCs w:val="22"/>
        </w:rPr>
        <w:t xml:space="preserve"> </w:t>
      </w:r>
      <w:r w:rsidR="0031580E">
        <w:rPr>
          <w:rFonts w:cs="Arial"/>
          <w:bCs/>
          <w:szCs w:val="22"/>
        </w:rPr>
        <w:t xml:space="preserve">bzw. Vorauszahlung </w:t>
      </w:r>
      <w:r w:rsidR="0031580E" w:rsidRPr="00677112">
        <w:rPr>
          <w:rFonts w:cs="Arial"/>
          <w:bCs/>
          <w:szCs w:val="22"/>
        </w:rPr>
        <w:t xml:space="preserve">ist gegenüber dem </w:t>
      </w:r>
      <w:r w:rsidR="00C80287">
        <w:rPr>
          <w:rFonts w:cs="Arial"/>
          <w:bCs/>
          <w:szCs w:val="22"/>
        </w:rPr>
        <w:t>Bilanzkreisverantwortlichen</w:t>
      </w:r>
      <w:r w:rsidR="0031580E" w:rsidRPr="00677112">
        <w:rPr>
          <w:rFonts w:cs="Arial"/>
          <w:bCs/>
          <w:szCs w:val="22"/>
        </w:rPr>
        <w:t xml:space="preserve"> </w:t>
      </w:r>
      <w:r w:rsidR="0031580E">
        <w:rPr>
          <w:rFonts w:cs="Arial"/>
          <w:bCs/>
          <w:szCs w:val="22"/>
        </w:rPr>
        <w:t>in Textform</w:t>
      </w:r>
      <w:r w:rsidR="0031580E" w:rsidRPr="00677112">
        <w:rPr>
          <w:rFonts w:cs="Arial"/>
          <w:bCs/>
          <w:szCs w:val="22"/>
        </w:rPr>
        <w:t xml:space="preserve"> </w:t>
      </w:r>
      <w:r w:rsidR="00DB0E29">
        <w:rPr>
          <w:rFonts w:cs="Arial"/>
          <w:bCs/>
          <w:szCs w:val="22"/>
        </w:rPr>
        <w:t xml:space="preserve">anzufordern und </w:t>
      </w:r>
      <w:r w:rsidR="0031580E" w:rsidRPr="00677112">
        <w:rPr>
          <w:rFonts w:cs="Arial"/>
          <w:bCs/>
          <w:szCs w:val="22"/>
        </w:rPr>
        <w:t>zu begründen.</w:t>
      </w:r>
    </w:p>
    <w:p w:rsidR="002B2198" w:rsidRPr="00A30246" w:rsidRDefault="002B2198" w:rsidP="00817985">
      <w:pPr>
        <w:numPr>
          <w:ilvl w:val="0"/>
          <w:numId w:val="56"/>
        </w:numPr>
      </w:pPr>
      <w:r w:rsidRPr="00A30246">
        <w:t>Ein begründeter Fall wird insbesondere angenommen, wenn</w:t>
      </w:r>
    </w:p>
    <w:p w:rsidR="003D27DE" w:rsidRDefault="000C482C" w:rsidP="00817985">
      <w:pPr>
        <w:numPr>
          <w:ilvl w:val="0"/>
          <w:numId w:val="57"/>
        </w:numPr>
      </w:pPr>
      <w:r w:rsidRPr="00A30246">
        <w:t xml:space="preserve">der </w:t>
      </w:r>
      <w:r>
        <w:t>Bilanzkreisverantwortliche</w:t>
      </w:r>
      <w:r w:rsidRPr="00A30246">
        <w:t xml:space="preserve"> </w:t>
      </w:r>
    </w:p>
    <w:p w:rsidR="003D27DE" w:rsidRDefault="000C482C" w:rsidP="00817985">
      <w:pPr>
        <w:numPr>
          <w:ilvl w:val="0"/>
          <w:numId w:val="86"/>
        </w:numPr>
      </w:pPr>
      <w:r w:rsidRPr="00A30246">
        <w:t xml:space="preserve">mit einer fälligen Zahlung </w:t>
      </w:r>
      <w:r w:rsidR="00DB0E29">
        <w:t>in nicht unerhebliche</w:t>
      </w:r>
      <w:r w:rsidR="00733948">
        <w:t>r</w:t>
      </w:r>
      <w:r w:rsidR="00DB0E29">
        <w:t xml:space="preserve"> Höhe</w:t>
      </w:r>
      <w:r w:rsidR="00733948">
        <w:t>,</w:t>
      </w:r>
      <w:r w:rsidR="001E0EE0" w:rsidRPr="001E0EE0">
        <w:rPr>
          <w:rFonts w:cs="Arial"/>
          <w:bCs/>
          <w:iCs/>
        </w:rPr>
        <w:t xml:space="preserve"> </w:t>
      </w:r>
      <w:r w:rsidR="001E0EE0" w:rsidRPr="00840CC5">
        <w:rPr>
          <w:rFonts w:cs="Arial"/>
          <w:bCs/>
          <w:iCs/>
        </w:rPr>
        <w:t>d.h. in der Regel mind</w:t>
      </w:r>
      <w:r w:rsidR="001E0EE0" w:rsidRPr="00840CC5">
        <w:rPr>
          <w:rFonts w:cs="Arial"/>
          <w:bCs/>
          <w:iCs/>
        </w:rPr>
        <w:t>e</w:t>
      </w:r>
      <w:r w:rsidR="001E0EE0" w:rsidRPr="00840CC5">
        <w:rPr>
          <w:rFonts w:cs="Arial"/>
          <w:bCs/>
          <w:iCs/>
        </w:rPr>
        <w:t xml:space="preserve">stens in Höhe von 10% des Entgelts des </w:t>
      </w:r>
      <w:r w:rsidR="00733948">
        <w:rPr>
          <w:rFonts w:cs="Arial"/>
          <w:bCs/>
          <w:iCs/>
        </w:rPr>
        <w:t>Bilanzkreisverantwortlichen</w:t>
      </w:r>
      <w:r w:rsidR="001E0EE0" w:rsidRPr="00840CC5">
        <w:rPr>
          <w:rFonts w:cs="Arial"/>
          <w:bCs/>
          <w:iCs/>
        </w:rPr>
        <w:t xml:space="preserve"> der letzten </w:t>
      </w:r>
      <w:r w:rsidR="00AE0CEC">
        <w:rPr>
          <w:rFonts w:cs="Arial"/>
          <w:bCs/>
          <w:iCs/>
        </w:rPr>
        <w:t>R</w:t>
      </w:r>
      <w:r w:rsidR="001E0EE0" w:rsidRPr="00840CC5">
        <w:rPr>
          <w:rFonts w:cs="Arial"/>
          <w:bCs/>
          <w:iCs/>
        </w:rPr>
        <w:t>echnung oder Abschlagszahlungsforderung,</w:t>
      </w:r>
      <w:r w:rsidR="006F7052" w:rsidRPr="00A30246">
        <w:t xml:space="preserve"> </w:t>
      </w:r>
      <w:r w:rsidRPr="00A30246">
        <w:t xml:space="preserve">in Verzug geraten ist und auch auf </w:t>
      </w:r>
      <w:r w:rsidR="00CA075B" w:rsidRPr="00721617">
        <w:t xml:space="preserve">eine nach Verzugseintritt erklärte schriftliche </w:t>
      </w:r>
      <w:r w:rsidRPr="00A30246">
        <w:t xml:space="preserve">Aufforderung </w:t>
      </w:r>
      <w:r w:rsidR="00CA075B" w:rsidRPr="00721617">
        <w:t xml:space="preserve">unter Androhung der Kündigung </w:t>
      </w:r>
      <w:r w:rsidRPr="00A30246">
        <w:t xml:space="preserve">nicht </w:t>
      </w:r>
      <w:r w:rsidR="00CA075B" w:rsidRPr="00721617">
        <w:t>oder nicht vollständig gezahlt</w:t>
      </w:r>
      <w:r w:rsidR="00CA075B" w:rsidRPr="00A30246">
        <w:t xml:space="preserve"> </w:t>
      </w:r>
      <w:r w:rsidRPr="00A30246">
        <w:t>gezahlt hat,</w:t>
      </w:r>
      <w:r w:rsidR="00DB0E29">
        <w:t xml:space="preserve"> oder</w:t>
      </w:r>
    </w:p>
    <w:p w:rsidR="003D27DE" w:rsidRDefault="00CA075B" w:rsidP="00817985">
      <w:pPr>
        <w:numPr>
          <w:ilvl w:val="0"/>
          <w:numId w:val="86"/>
        </w:numPr>
      </w:pPr>
      <w:r w:rsidRPr="00721617">
        <w:t xml:space="preserve">zweimal in zwölf Monaten </w:t>
      </w:r>
      <w:r w:rsidR="00DB0E29">
        <w:t xml:space="preserve">mit fälligen Zahlungen in Verzug </w:t>
      </w:r>
      <w:r>
        <w:t>war,</w:t>
      </w:r>
    </w:p>
    <w:p w:rsidR="002B2198" w:rsidRPr="00A30246" w:rsidRDefault="002B2198" w:rsidP="00817985">
      <w:pPr>
        <w:numPr>
          <w:ilvl w:val="0"/>
          <w:numId w:val="57"/>
        </w:numPr>
      </w:pPr>
      <w:r w:rsidRPr="00A30246">
        <w:t xml:space="preserve">gegen den </w:t>
      </w:r>
      <w:r>
        <w:t>Bilanzkreisverantwortliche</w:t>
      </w:r>
      <w:r w:rsidRPr="00A30246">
        <w:t xml:space="preserve">n Zwangsvollstreckungsmaßnahmen wegen Geldforderungen (§§ 803 - 882a </w:t>
      </w:r>
      <w:r>
        <w:t>Zivilprozessordnung (</w:t>
      </w:r>
      <w:r w:rsidRPr="00A30246">
        <w:t>ZPO</w:t>
      </w:r>
      <w:r>
        <w:t>)</w:t>
      </w:r>
      <w:r w:rsidRPr="00A30246">
        <w:t>) eingeleitet sind</w:t>
      </w:r>
      <w:r>
        <w:t>, es sei denn, es handelt sich um Geldforderungen in unerheblicher Höhe, oder</w:t>
      </w:r>
    </w:p>
    <w:p w:rsidR="002B2198" w:rsidRDefault="002B2198" w:rsidP="00817985">
      <w:pPr>
        <w:numPr>
          <w:ilvl w:val="0"/>
          <w:numId w:val="57"/>
        </w:numPr>
      </w:pPr>
      <w:r w:rsidRPr="00A30246">
        <w:t xml:space="preserve">ein Antrag </w:t>
      </w:r>
      <w:r>
        <w:t xml:space="preserve">des Bilanzkreisverantwortlichen </w:t>
      </w:r>
      <w:r w:rsidRPr="00A30246">
        <w:t xml:space="preserve">auf Eröffnung des Insolvenzverfahrens über </w:t>
      </w:r>
      <w:r>
        <w:t>sein</w:t>
      </w:r>
      <w:r w:rsidRPr="00A30246">
        <w:t xml:space="preserve"> Vermögen vorliegt</w:t>
      </w:r>
      <w:r>
        <w:t xml:space="preserve"> oder</w:t>
      </w:r>
    </w:p>
    <w:p w:rsidR="00CA075B" w:rsidRDefault="00CA075B" w:rsidP="00817985">
      <w:pPr>
        <w:numPr>
          <w:ilvl w:val="0"/>
          <w:numId w:val="57"/>
        </w:numPr>
      </w:pPr>
      <w:r w:rsidRPr="002315D3">
        <w:t>aufgrund der Sachlage unter Würdigung der Gesamtumstände die Besorgnis b</w:t>
      </w:r>
      <w:r w:rsidRPr="002315D3">
        <w:t>e</w:t>
      </w:r>
      <w:r w:rsidRPr="002315D3">
        <w:t>steht, dass er den Verpflichtungen aus diesem Vertrag nicht, nicht vollständig oder nur verzögert nachkommen wird und der Bilanzkreisverantwortliche dies nicht inn</w:t>
      </w:r>
      <w:r w:rsidRPr="002315D3">
        <w:t>e</w:t>
      </w:r>
      <w:r w:rsidRPr="002315D3">
        <w:t>rhalb von fünf Werktagen nach der Anforderung der Zahlung im Voraus durch einen geeigneten Nachweis seiner Bonität entkräftet oder</w:t>
      </w:r>
    </w:p>
    <w:p w:rsidR="002B2198" w:rsidRDefault="002B2198" w:rsidP="00817985">
      <w:pPr>
        <w:numPr>
          <w:ilvl w:val="0"/>
          <w:numId w:val="57"/>
        </w:numPr>
      </w:pPr>
      <w:r>
        <w:t>ein Dritter einen Antrag auf Eröffnung des Insolvenzverfahrens über das Vermögen des Bilanzkreisverantwortlichen gestellt hat und der Bilanzkreisverantwortliche nicht innerhalb der Frist nach Ziffer 4 Satz 2 das Fehlen eines Eröffnungsgrundes gemäß §§ 17 Abs. 2, 19 Abs. 2 Insolvenzordnung (InsO) nachweist oder</w:t>
      </w:r>
    </w:p>
    <w:p w:rsidR="002B2198" w:rsidRPr="00A30246" w:rsidRDefault="002B2198" w:rsidP="00817985">
      <w:pPr>
        <w:numPr>
          <w:ilvl w:val="0"/>
          <w:numId w:val="57"/>
        </w:numPr>
      </w:pPr>
      <w:r>
        <w:t>ein früherer Bilanzkreisvertrag zwischen dem Marktgebietsverantwortlichen und dem Bilanzkreisverantwortlichen in den letzten zwei Jahren vor Abschluss des Bilan</w:t>
      </w:r>
      <w:r>
        <w:t>z</w:t>
      </w:r>
      <w:r>
        <w:t xml:space="preserve">kreisvertrages außerordentlich nach § </w:t>
      </w:r>
      <w:r w:rsidR="00CA075B">
        <w:t>3</w:t>
      </w:r>
      <w:r w:rsidR="00D333C1">
        <w:t>7</w:t>
      </w:r>
      <w:r>
        <w:t xml:space="preserve"> Ziffer 3 lit. b des Bilanzkreisvertrages wir</w:t>
      </w:r>
      <w:r>
        <w:t>k</w:t>
      </w:r>
      <w:r>
        <w:t>sam gekündigt worden ist.</w:t>
      </w:r>
    </w:p>
    <w:p w:rsidR="00C760D9" w:rsidRDefault="00C760D9" w:rsidP="00C760D9">
      <w:pPr>
        <w:ind w:left="567"/>
      </w:pPr>
      <w:r w:rsidRPr="00A30246">
        <w:t xml:space="preserve">Darüber hinaus hat der </w:t>
      </w:r>
      <w:r>
        <w:t>Marktgebietsverantwortliche</w:t>
      </w:r>
      <w:r w:rsidRPr="00A30246">
        <w:t xml:space="preserve"> </w:t>
      </w:r>
      <w:r>
        <w:t>das Recht,</w:t>
      </w:r>
      <w:r w:rsidRPr="00A30246">
        <w:t xml:space="preserve"> eine angemessene Sicherheitsleistung oder Leistung einer Vorauszahlung</w:t>
      </w:r>
      <w:r>
        <w:t xml:space="preserve"> zu verlangen</w:t>
      </w:r>
      <w:r w:rsidRPr="00A30246">
        <w:t xml:space="preserve">, </w:t>
      </w:r>
      <w:r>
        <w:t>we</w:t>
      </w:r>
      <w:r w:rsidRPr="00A30246">
        <w:t xml:space="preserve">nn auf Grund einer über den </w:t>
      </w:r>
      <w:r>
        <w:t>Bilanzkreisverantwortliche</w:t>
      </w:r>
      <w:r w:rsidRPr="00A30246">
        <w:t>n eingeholten Auskunft einer allgemein im Geschäftsleben anerkannten Auskunftei</w:t>
      </w:r>
      <w:r>
        <w:t xml:space="preserve"> oder aufgrund einer sonstigen Sachlage eine</w:t>
      </w:r>
      <w:r w:rsidRPr="00A30246">
        <w:t xml:space="preserve"> begründete Besorgnis besteht, dass er den Verpflichtungen aus </w:t>
      </w:r>
      <w:r w:rsidR="00DB0E29">
        <w:t xml:space="preserve">dem Bilanzkreisvertrag </w:t>
      </w:r>
      <w:r w:rsidRPr="00A30246">
        <w:t xml:space="preserve">nicht nachkommen wird und der </w:t>
      </w:r>
      <w:r w:rsidR="00D66BAE">
        <w:t>Bilanzkreisverantwortliche</w:t>
      </w:r>
      <w:r w:rsidR="00D66BAE" w:rsidRPr="00A30246">
        <w:t xml:space="preserve"> </w:t>
      </w:r>
      <w:r w:rsidRPr="00A30246">
        <w:t>dies</w:t>
      </w:r>
      <w:r w:rsidR="00DB0E29">
        <w:t xml:space="preserve"> nach Aufforderung durch den Marktgebietsverantwortlichen</w:t>
      </w:r>
      <w:r w:rsidRPr="00A30246">
        <w:t xml:space="preserve"> nicht innerhalb von 5 Werktagen durch einen geeigneten Nachweis seiner Bonität entkräftet. </w:t>
      </w:r>
      <w:r>
        <w:t>Hierzu können gegebenenfalls geeign</w:t>
      </w:r>
      <w:r>
        <w:t>e</w:t>
      </w:r>
      <w:r>
        <w:t>te B</w:t>
      </w:r>
      <w:r w:rsidR="008A7994">
        <w:t>o</w:t>
      </w:r>
      <w:r>
        <w:t>nitätsnachweise</w:t>
      </w:r>
      <w:r w:rsidR="00DB0E29">
        <w:t xml:space="preserve"> vorgelegt werden</w:t>
      </w:r>
      <w:r>
        <w:t xml:space="preserve">, </w:t>
      </w:r>
      <w:r w:rsidRPr="00984E2A">
        <w:rPr>
          <w:rFonts w:cs="Arial"/>
          <w:bCs/>
          <w:szCs w:val="22"/>
        </w:rPr>
        <w:t xml:space="preserve">wie z.B. </w:t>
      </w:r>
      <w:r w:rsidR="00DB0E29">
        <w:rPr>
          <w:rFonts w:cs="Arial"/>
          <w:bCs/>
          <w:szCs w:val="22"/>
        </w:rPr>
        <w:t>das Testat eines Wirtschaftsprüfers, eine Bescheinigung eines in der Bundesrepublik Deutschland zum Geschäftsbetrieb b</w:t>
      </w:r>
      <w:r w:rsidR="00DB0E29">
        <w:rPr>
          <w:rFonts w:cs="Arial"/>
          <w:bCs/>
          <w:szCs w:val="22"/>
        </w:rPr>
        <w:t>e</w:t>
      </w:r>
      <w:r w:rsidR="00DB0E29">
        <w:rPr>
          <w:rFonts w:cs="Arial"/>
          <w:bCs/>
          <w:szCs w:val="22"/>
        </w:rPr>
        <w:t>fugten Kreditinstituts</w:t>
      </w:r>
      <w:r w:rsidR="003C2829">
        <w:rPr>
          <w:rFonts w:cs="Arial"/>
          <w:bCs/>
          <w:szCs w:val="22"/>
        </w:rPr>
        <w:t xml:space="preserve"> über eine ausreichende Liquidität, </w:t>
      </w:r>
      <w:r w:rsidRPr="00984E2A">
        <w:rPr>
          <w:rFonts w:cs="Arial"/>
          <w:bCs/>
          <w:szCs w:val="22"/>
        </w:rPr>
        <w:t>ein aktuelle</w:t>
      </w:r>
      <w:r w:rsidR="003C2829">
        <w:rPr>
          <w:rFonts w:cs="Arial"/>
          <w:bCs/>
          <w:szCs w:val="22"/>
        </w:rPr>
        <w:t>r</w:t>
      </w:r>
      <w:r w:rsidRPr="00984E2A">
        <w:rPr>
          <w:rFonts w:cs="Arial"/>
          <w:bCs/>
          <w:szCs w:val="22"/>
        </w:rPr>
        <w:t xml:space="preserve"> Geschäftsbericht, </w:t>
      </w:r>
      <w:r>
        <w:rPr>
          <w:rFonts w:cs="Arial"/>
          <w:bCs/>
          <w:szCs w:val="22"/>
        </w:rPr>
        <w:t xml:space="preserve">ein </w:t>
      </w:r>
      <w:r w:rsidRPr="00984E2A">
        <w:rPr>
          <w:rFonts w:cs="Arial"/>
          <w:bCs/>
          <w:szCs w:val="22"/>
        </w:rPr>
        <w:t>Handelsregisterauszug und erforderlichenfalls weitergehende bonitätsrelevante I</w:t>
      </w:r>
      <w:r w:rsidRPr="00984E2A">
        <w:rPr>
          <w:rFonts w:cs="Arial"/>
          <w:bCs/>
          <w:szCs w:val="22"/>
        </w:rPr>
        <w:t>n</w:t>
      </w:r>
      <w:r w:rsidRPr="00984E2A">
        <w:rPr>
          <w:rFonts w:cs="Arial"/>
          <w:bCs/>
          <w:szCs w:val="22"/>
        </w:rPr>
        <w:t>formationen</w:t>
      </w:r>
      <w:r w:rsidR="003C2829">
        <w:rPr>
          <w:rFonts w:cs="Arial"/>
          <w:bCs/>
          <w:szCs w:val="22"/>
        </w:rPr>
        <w:t>.</w:t>
      </w:r>
      <w:r>
        <w:t xml:space="preserve"> </w:t>
      </w:r>
    </w:p>
    <w:p w:rsidR="00C760D9" w:rsidRDefault="003C2829" w:rsidP="00C760D9">
      <w:pPr>
        <w:ind w:left="567"/>
        <w:rPr>
          <w:rFonts w:cs="Arial"/>
          <w:szCs w:val="22"/>
        </w:rPr>
      </w:pPr>
      <w:r>
        <w:t>Unbeschadet der vorstehenden Regelung liegt, s</w:t>
      </w:r>
      <w:r w:rsidR="00C760D9">
        <w:t xml:space="preserve">oweit der </w:t>
      </w:r>
      <w:r w:rsidR="00D66BAE">
        <w:t xml:space="preserve">Bilanzkreisverantwortliche </w:t>
      </w:r>
      <w:r w:rsidR="00C760D9">
        <w:t xml:space="preserve">über ein Rating einer anerkannten Rating-Agentur verfügt, eine begründete Besorgnis </w:t>
      </w:r>
      <w:r>
        <w:rPr>
          <w:rFonts w:cs="Arial"/>
          <w:szCs w:val="22"/>
        </w:rPr>
        <w:t xml:space="preserve">jedenfalls auch </w:t>
      </w:r>
      <w:r w:rsidR="00C760D9">
        <w:rPr>
          <w:rFonts w:cs="Arial"/>
          <w:szCs w:val="22"/>
        </w:rPr>
        <w:t>dann vor, wenn sein Rating nicht mindestens</w:t>
      </w:r>
    </w:p>
    <w:p w:rsidR="003D27DE" w:rsidRPr="005358A9" w:rsidRDefault="00C760D9" w:rsidP="00817985">
      <w:pPr>
        <w:pStyle w:val="BulletPGL2"/>
        <w:numPr>
          <w:ilvl w:val="0"/>
          <w:numId w:val="93"/>
        </w:numPr>
        <w:ind w:left="992" w:hanging="425"/>
      </w:pPr>
      <w:r w:rsidRPr="005358A9">
        <w:t xml:space="preserve">im Langfristbereich nach Standard &amp; Poors BBB-, </w:t>
      </w:r>
    </w:p>
    <w:p w:rsidR="003D27DE" w:rsidRPr="005358A9" w:rsidRDefault="00C760D9" w:rsidP="00817985">
      <w:pPr>
        <w:pStyle w:val="BulletPGL2"/>
        <w:numPr>
          <w:ilvl w:val="0"/>
          <w:numId w:val="93"/>
        </w:numPr>
        <w:ind w:left="992" w:hanging="425"/>
      </w:pPr>
      <w:r w:rsidRPr="005358A9">
        <w:t xml:space="preserve">im Langfristbereich nach Fitch BBB-, </w:t>
      </w:r>
    </w:p>
    <w:p w:rsidR="003D27DE" w:rsidRPr="005358A9" w:rsidRDefault="00C760D9" w:rsidP="00817985">
      <w:pPr>
        <w:pStyle w:val="BulletPGL2"/>
        <w:numPr>
          <w:ilvl w:val="0"/>
          <w:numId w:val="93"/>
        </w:numPr>
        <w:ind w:left="992" w:hanging="425"/>
      </w:pPr>
      <w:r w:rsidRPr="005358A9">
        <w:t>im Langfristbereich nach Moody’s Baa3,</w:t>
      </w:r>
    </w:p>
    <w:p w:rsidR="003D27DE" w:rsidRPr="005358A9" w:rsidRDefault="00C760D9" w:rsidP="00817985">
      <w:pPr>
        <w:pStyle w:val="BulletPGL2"/>
        <w:numPr>
          <w:ilvl w:val="0"/>
          <w:numId w:val="93"/>
        </w:numPr>
        <w:ind w:left="992" w:hanging="425"/>
      </w:pPr>
      <w:r w:rsidRPr="005358A9">
        <w:t>nach Creditreform (Bonitätsindex 2.0) Risikoklasse II (gemäß Creditreform Rating</w:t>
      </w:r>
      <w:r w:rsidR="00854E8E">
        <w:t>-</w:t>
      </w:r>
      <w:r w:rsidRPr="005358A9">
        <w:t>Map</w:t>
      </w:r>
      <w:r w:rsidR="00C641D4" w:rsidRPr="005358A9">
        <w:t xml:space="preserve"> Deutschland</w:t>
      </w:r>
      <w:r w:rsidRPr="005358A9">
        <w:t xml:space="preserve"> </w:t>
      </w:r>
      <w:r w:rsidR="00444804" w:rsidRPr="005358A9">
        <w:t xml:space="preserve">Stand </w:t>
      </w:r>
      <w:r w:rsidR="00C641D4" w:rsidRPr="005358A9">
        <w:t>30. Juni 2014</w:t>
      </w:r>
      <w:r w:rsidRPr="005358A9">
        <w:t xml:space="preserve">) </w:t>
      </w:r>
    </w:p>
    <w:p w:rsidR="00C760D9" w:rsidRDefault="00C760D9" w:rsidP="008A7994">
      <w:pPr>
        <w:pStyle w:val="Listenabsatz"/>
        <w:tabs>
          <w:tab w:val="left" w:pos="993"/>
        </w:tabs>
        <w:ind w:left="0" w:firstLine="567"/>
        <w:rPr>
          <w:rFonts w:cs="Arial"/>
          <w:szCs w:val="22"/>
        </w:rPr>
      </w:pPr>
      <w:r>
        <w:rPr>
          <w:rFonts w:cs="Arial"/>
          <w:szCs w:val="22"/>
        </w:rPr>
        <w:t xml:space="preserve">beträgt. </w:t>
      </w:r>
    </w:p>
    <w:p w:rsidR="00C760D9" w:rsidRDefault="00C760D9" w:rsidP="00C760D9">
      <w:pPr>
        <w:ind w:left="567"/>
      </w:pPr>
      <w:r>
        <w:rPr>
          <w:rFonts w:cs="Arial"/>
          <w:szCs w:val="22"/>
        </w:rPr>
        <w:t xml:space="preserve">Gleiches gilt, wenn der </w:t>
      </w:r>
      <w:r w:rsidR="00D66BAE">
        <w:t xml:space="preserve">Bilanzkreisverantwortliche </w:t>
      </w:r>
      <w:r>
        <w:rPr>
          <w:rFonts w:cs="Arial"/>
          <w:szCs w:val="22"/>
        </w:rPr>
        <w:t xml:space="preserve">bei einer </w:t>
      </w:r>
      <w:r w:rsidRPr="008C4B30">
        <w:rPr>
          <w:rFonts w:cs="Arial"/>
          <w:szCs w:val="22"/>
        </w:rPr>
        <w:t>anderen anerkannten R</w:t>
      </w:r>
      <w:r w:rsidRPr="008C4B30">
        <w:rPr>
          <w:rFonts w:cs="Arial"/>
          <w:szCs w:val="22"/>
        </w:rPr>
        <w:t>a</w:t>
      </w:r>
      <w:r w:rsidRPr="008C4B30">
        <w:rPr>
          <w:rFonts w:cs="Arial"/>
          <w:szCs w:val="22"/>
        </w:rPr>
        <w:t xml:space="preserve">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w:t>
      </w:r>
      <w:r w:rsidR="003C2829">
        <w:t>R</w:t>
      </w:r>
      <w:r w:rsidR="003C2829">
        <w:t>a</w:t>
      </w:r>
      <w:r w:rsidR="003C2829">
        <w:t xml:space="preserve">tings </w:t>
      </w:r>
      <w:r>
        <w:t>vor, liegt eine begründete Besorgnis auch dann vor, wenn nur ein</w:t>
      </w:r>
      <w:r w:rsidR="003C2829">
        <w:t xml:space="preserve"> Rating nicht mindestens den vorgena</w:t>
      </w:r>
      <w:r w:rsidR="00970F3A">
        <w:t>nnten Ratingniveaus entspricht.</w:t>
      </w:r>
    </w:p>
    <w:p w:rsidR="00703700" w:rsidRDefault="000C482C" w:rsidP="00703700">
      <w:pPr>
        <w:ind w:left="567"/>
      </w:pPr>
      <w:r w:rsidRPr="00A30246">
        <w:t>Die Daten</w:t>
      </w:r>
      <w:r w:rsidR="00F97281">
        <w:t xml:space="preserve"> und die wesentlichen Inhalte der Auskunft</w:t>
      </w:r>
      <w:r w:rsidRPr="00A30246">
        <w:t>, auf denen die begründete B</w:t>
      </w:r>
      <w:r w:rsidRPr="00A30246">
        <w:t>e</w:t>
      </w:r>
      <w:r w:rsidRPr="00A30246">
        <w:t xml:space="preserve">sorgnis </w:t>
      </w:r>
      <w:r w:rsidR="003C2829">
        <w:t xml:space="preserve">im Sinne der Ziffer 2 </w:t>
      </w:r>
      <w:r w:rsidRPr="00A30246">
        <w:t xml:space="preserve">beruht, sind dem </w:t>
      </w:r>
      <w:r>
        <w:t>Bilanzkreisverantwortliche</w:t>
      </w:r>
      <w:r w:rsidRPr="00A30246">
        <w:t xml:space="preserve">n durch den </w:t>
      </w:r>
      <w:r>
        <w:t>Marktgebietsverantwortlichen</w:t>
      </w:r>
      <w:r w:rsidRPr="00A30246">
        <w:t xml:space="preserve"> mit der Anforderung der Sicherheitsleistung vollständig offen zu legen.</w:t>
      </w:r>
      <w:r w:rsidR="00FA09C7">
        <w:t xml:space="preserve"> </w:t>
      </w:r>
    </w:p>
    <w:p w:rsidR="000C482C" w:rsidRPr="00A30246" w:rsidRDefault="000C482C" w:rsidP="00817985">
      <w:pPr>
        <w:numPr>
          <w:ilvl w:val="0"/>
          <w:numId w:val="56"/>
        </w:numPr>
      </w:pPr>
      <w:r>
        <w:t xml:space="preserve">Arten der </w:t>
      </w:r>
      <w:r w:rsidRPr="00A30246">
        <w:t>Sicherheitsleistungen sind unbedingte unwiderrufliche Bankgarantien, u</w:t>
      </w:r>
      <w:r w:rsidRPr="00A30246">
        <w:t>n</w:t>
      </w:r>
      <w:r w:rsidRPr="00A30246">
        <w:t>bedingte unwiderrufliche</w:t>
      </w:r>
      <w:r w:rsidR="00B65949">
        <w:t xml:space="preserve"> </w:t>
      </w:r>
      <w:r w:rsidRPr="00A30246">
        <w:t xml:space="preserve">Unternehmensgarantien (z.B. </w:t>
      </w:r>
      <w:r w:rsidR="002A0F68">
        <w:t xml:space="preserve">harte </w:t>
      </w:r>
      <w:r w:rsidRPr="00A30246">
        <w:t>Patronats- und Orga</w:t>
      </w:r>
      <w:r w:rsidRPr="00A30246">
        <w:t>n</w:t>
      </w:r>
      <w:r w:rsidRPr="00A30246">
        <w:t>schaftserklärungen</w:t>
      </w:r>
      <w:r>
        <w:t>)</w:t>
      </w:r>
      <w:r w:rsidR="004D00D1">
        <w:t>,</w:t>
      </w:r>
      <w:r w:rsidRPr="00A30246">
        <w:t xml:space="preserve"> unbedingte unwiderrufliche, selbstschuldnerische Bürgschaften</w:t>
      </w:r>
      <w:r w:rsidR="004D00D1">
        <w:t xml:space="preserve"> </w:t>
      </w:r>
      <w:r w:rsidR="00B65949">
        <w:t>e</w:t>
      </w:r>
      <w:r w:rsidR="00B65949">
        <w:t>i</w:t>
      </w:r>
      <w:r w:rsidR="00B65949">
        <w:t xml:space="preserve">nes in der Bundesrepublik Deutschland zum Geschäftsbetrieb befugten Kreditinstituts </w:t>
      </w:r>
      <w:r w:rsidR="004D00D1">
        <w:t xml:space="preserve">sowie Hinterlegungen von Geld oder </w:t>
      </w:r>
      <w:r w:rsidR="002A0F68">
        <w:t xml:space="preserve">festverzinslichen </w:t>
      </w:r>
      <w:r w:rsidR="004D00D1">
        <w:t>Wertpapieren</w:t>
      </w:r>
      <w:r w:rsidRPr="00A30246">
        <w:t xml:space="preserve">. Die Auswahl der Art der Sicherheitsleistung obliegt dem </w:t>
      </w:r>
      <w:r>
        <w:t>Bilanzkreisverantwortliche</w:t>
      </w:r>
      <w:r w:rsidRPr="00A30246">
        <w:t>n.</w:t>
      </w:r>
      <w:r w:rsidR="007E64E5" w:rsidRPr="007E64E5">
        <w:t xml:space="preserve"> </w:t>
      </w:r>
      <w:r w:rsidR="007E64E5">
        <w:t xml:space="preserve">Außerdem kann der Marktgebietsverantwortliche Barsicherheiten </w:t>
      </w:r>
      <w:r w:rsidR="002A0F68">
        <w:t xml:space="preserve">oder Forderungsabtretungen </w:t>
      </w:r>
      <w:r w:rsidR="007E64E5">
        <w:t>akzeptieren.</w:t>
      </w:r>
    </w:p>
    <w:p w:rsidR="000C482C" w:rsidRPr="00A30246" w:rsidRDefault="000C482C" w:rsidP="00817985">
      <w:pPr>
        <w:numPr>
          <w:ilvl w:val="0"/>
          <w:numId w:val="56"/>
        </w:numPr>
      </w:pPr>
      <w:r w:rsidRPr="00A30246">
        <w:t xml:space="preserve">Die Sicherheit ist innerhalb von </w:t>
      </w:r>
      <w:r w:rsidR="003C2829">
        <w:t>7</w:t>
      </w:r>
      <w:r w:rsidR="002A0F68" w:rsidRPr="00A30246">
        <w:t xml:space="preserve"> </w:t>
      </w:r>
      <w:r w:rsidRPr="00A30246">
        <w:t xml:space="preserve">Werktagen nach ihrer Anforderung vom </w:t>
      </w:r>
      <w:r>
        <w:t>Bilanzkreisv</w:t>
      </w:r>
      <w:r>
        <w:t>e</w:t>
      </w:r>
      <w:r>
        <w:t>rantwortliche</w:t>
      </w:r>
      <w:r w:rsidRPr="00A30246">
        <w:t xml:space="preserve">n an den </w:t>
      </w:r>
      <w:r>
        <w:t>Marktgebietsverantwortlichen</w:t>
      </w:r>
      <w:r w:rsidRPr="00A30246">
        <w:t xml:space="preserve"> zu leis</w:t>
      </w:r>
      <w:r>
        <w:t xml:space="preserve">ten. </w:t>
      </w:r>
      <w:r w:rsidR="00E20A99">
        <w:t xml:space="preserve">Im Fall der Ziffer 2 d) ist die Sicherheit innerhalb von 10 Werktagen zu leisten, wenn der </w:t>
      </w:r>
      <w:r w:rsidR="00C31544">
        <w:t>Bilanzkreisverantwortl</w:t>
      </w:r>
      <w:r w:rsidR="00C31544">
        <w:t>i</w:t>
      </w:r>
      <w:r w:rsidR="00C31544">
        <w:t>che</w:t>
      </w:r>
      <w:r w:rsidR="00E20A99">
        <w:t xml:space="preserve"> nicht innerhalb dieser Frist </w:t>
      </w:r>
      <w:r w:rsidR="00E20A99" w:rsidRPr="00540DA9">
        <w:t xml:space="preserve">das Fehlen eines Eröffnungsgrundes im Sinne von §§ 17 Abs.2, 19 Abs.2 </w:t>
      </w:r>
      <w:r w:rsidR="00C31544">
        <w:t>Insolvenzordnung (</w:t>
      </w:r>
      <w:r w:rsidR="00E20A99" w:rsidRPr="00540DA9">
        <w:t>InsO</w:t>
      </w:r>
      <w:r w:rsidR="00C31544">
        <w:t>)</w:t>
      </w:r>
      <w:r w:rsidR="00E20A99" w:rsidRPr="00540DA9">
        <w:t xml:space="preserve"> nachweist</w:t>
      </w:r>
      <w:r w:rsidR="00E20A99">
        <w:t xml:space="preserve">. </w:t>
      </w:r>
    </w:p>
    <w:p w:rsidR="000C482C" w:rsidRPr="008066F4" w:rsidRDefault="003C2829" w:rsidP="00817985">
      <w:pPr>
        <w:numPr>
          <w:ilvl w:val="0"/>
          <w:numId w:val="56"/>
        </w:numPr>
      </w:pPr>
      <w:r>
        <w:t>Hinsichtlich der</w:t>
      </w:r>
      <w:r w:rsidR="000C482C" w:rsidRPr="008066F4">
        <w:t xml:space="preserve"> Anforderungen an die einzelnen Arten der Sicherheitsleistungen </w:t>
      </w:r>
      <w:r>
        <w:t>gilt Folgendes</w:t>
      </w:r>
      <w:r w:rsidR="000C482C" w:rsidRPr="008066F4">
        <w:t>:</w:t>
      </w:r>
    </w:p>
    <w:p w:rsidR="003D27DE" w:rsidRDefault="000C482C" w:rsidP="00817985">
      <w:pPr>
        <w:numPr>
          <w:ilvl w:val="0"/>
          <w:numId w:val="58"/>
        </w:numPr>
      </w:pPr>
      <w:r w:rsidRPr="008066F4">
        <w:t>Banksicherheiten sind in Form einer unbedingten, unwiderruflichen und selbs</w:t>
      </w:r>
      <w:r w:rsidRPr="008066F4">
        <w:t>t</w:t>
      </w:r>
      <w:r w:rsidRPr="008066F4">
        <w:t>schuldnerischen</w:t>
      </w:r>
      <w:r w:rsidR="00FD3FFD">
        <w:t xml:space="preserve"> B</w:t>
      </w:r>
      <w:r w:rsidRPr="008066F4">
        <w:t xml:space="preserve">ürgschaft bzw. </w:t>
      </w:r>
      <w:r w:rsidR="00FD3FFD">
        <w:t>G</w:t>
      </w:r>
      <w:r w:rsidRPr="008066F4">
        <w:t xml:space="preserve">arantie </w:t>
      </w:r>
      <w:r w:rsidR="00FD3FFD" w:rsidRPr="00BE6C72">
        <w:rPr>
          <w:rFonts w:cs="Arial"/>
          <w:bCs/>
          <w:iCs/>
          <w:szCs w:val="22"/>
        </w:rPr>
        <w:t>eines i</w:t>
      </w:r>
      <w:r w:rsidR="00FD3FFD">
        <w:rPr>
          <w:rFonts w:cs="Arial"/>
          <w:bCs/>
          <w:iCs/>
          <w:szCs w:val="22"/>
        </w:rPr>
        <w:t xml:space="preserve">n der Bundesrepublik Deutschland </w:t>
      </w:r>
      <w:r w:rsidR="00FD3FFD" w:rsidRPr="00BE6C72">
        <w:rPr>
          <w:rFonts w:cs="Arial"/>
          <w:bCs/>
          <w:iCs/>
          <w:szCs w:val="22"/>
        </w:rPr>
        <w:t>zum Geschäftsbetrieb befugten Kreditinstitutes</w:t>
      </w:r>
      <w:r w:rsidR="00FD3FFD" w:rsidRPr="008066F4">
        <w:t xml:space="preserve"> </w:t>
      </w:r>
      <w:r w:rsidRPr="008066F4">
        <w:t>zu leisten. Das Kreditinstitut, welches die Sicherheitsleistung ausstellt, muss mindestens ein Standard &amp; Poor’s Langfrist-Rating von A- bzw. ein Moody’s Langfrist-Rating von A3 aufweisen, oder dem deu</w:t>
      </w:r>
      <w:r w:rsidRPr="008066F4">
        <w:t>t</w:t>
      </w:r>
      <w:r w:rsidRPr="008066F4">
        <w:t>schen Sparkassen- bzw. Genossenschaftssektor angehören.</w:t>
      </w:r>
    </w:p>
    <w:p w:rsidR="003D27DE" w:rsidRDefault="000C482C" w:rsidP="00817985">
      <w:pPr>
        <w:numPr>
          <w:ilvl w:val="0"/>
          <w:numId w:val="58"/>
        </w:numPr>
      </w:pPr>
      <w:r w:rsidRPr="008066F4">
        <w:t xml:space="preserve">Für Unternehmensgarantien und Bürgschaften gilt, dass das Unternehmen, welches die Sicherheit leistet, mindestens ein Standard &amp; Poor’s Langfrist-Rating von BBB-, </w:t>
      </w:r>
      <w:r w:rsidR="002A0F68">
        <w:rPr>
          <w:rFonts w:cs="Arial"/>
          <w:szCs w:val="22"/>
        </w:rPr>
        <w:t xml:space="preserve">ein Fitch-Rating von minimal BBB-, </w:t>
      </w:r>
      <w:r w:rsidRPr="008066F4">
        <w:t>ein Moody’s Langfrist-Rating von Baa3 oder e</w:t>
      </w:r>
      <w:r w:rsidRPr="008066F4">
        <w:t>i</w:t>
      </w:r>
      <w:r w:rsidRPr="008066F4">
        <w:t xml:space="preserve">nen Bonitätsindex von Creditreform </w:t>
      </w:r>
      <w:r w:rsidR="00C31544">
        <w:rPr>
          <w:rFonts w:cs="Arial"/>
          <w:szCs w:val="22"/>
        </w:rPr>
        <w:t>(</w:t>
      </w:r>
      <w:r w:rsidR="00C31544" w:rsidRPr="007D4100">
        <w:rPr>
          <w:rFonts w:cs="Arial"/>
          <w:szCs w:val="22"/>
        </w:rPr>
        <w:t>Bonitätsindex 2.0) von mindestens Risikoklasse II oder besser (gemäß Creditreform Rating</w:t>
      </w:r>
      <w:r w:rsidR="00854E8E">
        <w:rPr>
          <w:rFonts w:cs="Arial"/>
          <w:szCs w:val="22"/>
        </w:rPr>
        <w:t>-</w:t>
      </w:r>
      <w:r w:rsidR="00C31544" w:rsidRPr="007D4100">
        <w:rPr>
          <w:rFonts w:cs="Arial"/>
          <w:szCs w:val="22"/>
        </w:rPr>
        <w:t xml:space="preserve">Map </w:t>
      </w:r>
      <w:r w:rsidR="007D4100" w:rsidRPr="007D4100">
        <w:rPr>
          <w:rFonts w:cs="Arial"/>
          <w:szCs w:val="22"/>
        </w:rPr>
        <w:t xml:space="preserve">Deutschland </w:t>
      </w:r>
      <w:r w:rsidR="00C31544" w:rsidRPr="007D4100">
        <w:rPr>
          <w:rFonts w:cs="Arial"/>
          <w:szCs w:val="22"/>
        </w:rPr>
        <w:t xml:space="preserve">Stand </w:t>
      </w:r>
      <w:r w:rsidR="007D4100" w:rsidRPr="007D4100">
        <w:t>30. Juni 2014</w:t>
      </w:r>
      <w:r w:rsidR="00C31544" w:rsidRPr="007D4100">
        <w:rPr>
          <w:rFonts w:cs="Arial"/>
          <w:szCs w:val="22"/>
        </w:rPr>
        <w:t xml:space="preserve">) </w:t>
      </w:r>
      <w:r w:rsidRPr="007D4100">
        <w:t>aufweisen</w:t>
      </w:r>
      <w:r w:rsidR="002A0F68" w:rsidRPr="007D4100">
        <w:t xml:space="preserve"> muss</w:t>
      </w:r>
      <w:r w:rsidRPr="007D4100">
        <w:t>.</w:t>
      </w:r>
      <w:r w:rsidR="005123B1" w:rsidRPr="007D4100">
        <w:t xml:space="preserve"> Weiterhin darf die Höhe der Unternehmensgarantie</w:t>
      </w:r>
      <w:r w:rsidR="005123B1">
        <w:t xml:space="preserve"> oder Bür</w:t>
      </w:r>
      <w:r w:rsidR="005123B1">
        <w:t>g</w:t>
      </w:r>
      <w:r w:rsidR="005123B1">
        <w:t xml:space="preserve">schaft 10 </w:t>
      </w:r>
      <w:r w:rsidR="0059126E">
        <w:t>%</w:t>
      </w:r>
      <w:r w:rsidR="005123B1">
        <w:t xml:space="preserve"> des haftenden Eigenkapitals </w:t>
      </w:r>
      <w:r w:rsidR="00312A28">
        <w:t xml:space="preserve">des Sicherheitengebers </w:t>
      </w:r>
      <w:r w:rsidR="005123B1">
        <w:t>nicht übersteigen. Dieses ist durch den Bilanzkreisverantwortlichen gegenüber dem Marktgebietsv</w:t>
      </w:r>
      <w:r w:rsidR="005123B1">
        <w:t>e</w:t>
      </w:r>
      <w:r w:rsidR="005123B1">
        <w:t>rantwortlichen mit der Beibringung der Sicherheitsleistung nachzuweisen.</w:t>
      </w:r>
      <w:r w:rsidR="00335B18">
        <w:t xml:space="preserve"> </w:t>
      </w:r>
    </w:p>
    <w:p w:rsidR="003D27DE" w:rsidRDefault="000C482C" w:rsidP="00817985">
      <w:pPr>
        <w:numPr>
          <w:ilvl w:val="0"/>
          <w:numId w:val="58"/>
        </w:numPr>
      </w:pPr>
      <w:r w:rsidRPr="008066F4">
        <w:t xml:space="preserve">Barsicherheiten sind durch Einzahlung auf ein vom Marktgebietsverantwortlichen benanntes Konto zu leisten. Sie werden zu dem von der </w:t>
      </w:r>
      <w:r w:rsidR="00791435">
        <w:t>D</w:t>
      </w:r>
      <w:r w:rsidRPr="008066F4">
        <w:t>eutschen Bundesbank am ersten Bankentag des Rechnungsmonats bekanntgegebenen Basiszinssatz verzinst.</w:t>
      </w:r>
      <w:r w:rsidR="005123B1" w:rsidRPr="005123B1">
        <w:t xml:space="preserve"> </w:t>
      </w:r>
      <w:r w:rsidR="005123B1">
        <w:t xml:space="preserve">Alternativ ist auch eine Guthabenverpfändung eines vom Bilanzkreisverantwortlichen </w:t>
      </w:r>
      <w:r w:rsidR="00DC0BFC">
        <w:t>bei einem</w:t>
      </w:r>
      <w:r w:rsidR="00DC0BFC" w:rsidRPr="00BE6C72">
        <w:rPr>
          <w:rFonts w:cs="Arial"/>
          <w:bCs/>
          <w:iCs/>
          <w:szCs w:val="22"/>
        </w:rPr>
        <w:t xml:space="preserve"> i</w:t>
      </w:r>
      <w:r w:rsidR="00DC0BFC">
        <w:rPr>
          <w:rFonts w:cs="Arial"/>
          <w:bCs/>
          <w:iCs/>
          <w:szCs w:val="22"/>
        </w:rPr>
        <w:t xml:space="preserve">n der Bundesrepublik Deutschland </w:t>
      </w:r>
      <w:r w:rsidR="00DC0BFC" w:rsidRPr="00BE6C72">
        <w:rPr>
          <w:rFonts w:cs="Arial"/>
          <w:bCs/>
          <w:iCs/>
          <w:szCs w:val="22"/>
        </w:rPr>
        <w:t>zum Geschäftsbetrieb befugten Kredi</w:t>
      </w:r>
      <w:r w:rsidR="00DC0BFC" w:rsidRPr="00BE6C72">
        <w:rPr>
          <w:rFonts w:cs="Arial"/>
          <w:bCs/>
          <w:iCs/>
          <w:szCs w:val="22"/>
        </w:rPr>
        <w:t>t</w:t>
      </w:r>
      <w:r w:rsidR="00DC0BFC" w:rsidRPr="00BE6C72">
        <w:rPr>
          <w:rFonts w:cs="Arial"/>
          <w:bCs/>
          <w:iCs/>
          <w:szCs w:val="22"/>
        </w:rPr>
        <w:t>institut</w:t>
      </w:r>
      <w:r w:rsidR="00DC0BFC">
        <w:t xml:space="preserve"> </w:t>
      </w:r>
      <w:r w:rsidR="005123B1">
        <w:t>geführten Kontos zugunsten des Marktgebietsverantwortlichen möglich.</w:t>
      </w:r>
    </w:p>
    <w:p w:rsidR="003D27DE" w:rsidRDefault="00335B18" w:rsidP="00817985">
      <w:pPr>
        <w:numPr>
          <w:ilvl w:val="0"/>
          <w:numId w:val="58"/>
        </w:numPr>
      </w:pPr>
      <w:r>
        <w:t>Eine</w:t>
      </w:r>
      <w:r w:rsidR="000C482C" w:rsidRPr="008066F4">
        <w:t xml:space="preserve"> Bürgschaft oder Garantieerklärung hat generell den Verzicht auf die Einreden der Vorausklage, der Anfechtbarkeit und der Aufrechenbarkeit, soweit es sich nicht um unstrittige oder rechtskräftig festgestellte Forderungen handelt, zu enthalten. E</w:t>
      </w:r>
      <w:r w:rsidR="000C482C" w:rsidRPr="008066F4">
        <w:t>i</w:t>
      </w:r>
      <w:r w:rsidR="000C482C" w:rsidRPr="008066F4">
        <w:t>ne selbstschuldnerische Bürgschafts- oder Garantieerklärung muss mindestens für 12 Kalendermonate gültig sein, maximal jedoch bis zum Ende der Vertragslaufzeit und die beiden der Vertragslaufzeit unmittelbar folgenden Monate.</w:t>
      </w:r>
    </w:p>
    <w:p w:rsidR="003D27DE" w:rsidRDefault="00F37F8A" w:rsidP="00817985">
      <w:pPr>
        <w:numPr>
          <w:ilvl w:val="0"/>
          <w:numId w:val="56"/>
        </w:numPr>
      </w:pPr>
      <w:r>
        <w:t>Die Höhe der Sicherheitsleistung beläuft sich auf den höheren der jeweils folgenden Werte:</w:t>
      </w:r>
    </w:p>
    <w:p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 xml:space="preserve">die maximale monatliche Forderungshöhe aus den Bilanzkreisabrechnungen der letzten 12 Monate gegenüber dem </w:t>
      </w:r>
      <w:r>
        <w:t>betreffenden</w:t>
      </w:r>
      <w:r w:rsidRPr="00D209F3">
        <w:t xml:space="preserve"> Bilanzkreisverantwortlichen zuzü</w:t>
      </w:r>
      <w:r w:rsidRPr="00D209F3">
        <w:t>g</w:t>
      </w:r>
      <w:r w:rsidRPr="00D209F3">
        <w:t>lich einer durchschnittlichen Monatsabrechnung aus den letzten 12 Monaten gege</w:t>
      </w:r>
      <w:r w:rsidRPr="00D209F3">
        <w:t>n</w:t>
      </w:r>
      <w:r w:rsidRPr="00D209F3">
        <w:t xml:space="preserve">über dem </w:t>
      </w:r>
      <w:r>
        <w:t>betreffenden</w:t>
      </w:r>
      <w:r w:rsidRPr="00D209F3">
        <w:t xml:space="preserve"> Bilanzkreisverantwortlichen.</w:t>
      </w:r>
      <w:r>
        <w:t xml:space="preserve"> </w:t>
      </w:r>
      <w:r w:rsidRPr="00D209F3">
        <w:t>Für den Fall, dass zumindest ein, aber noch keine 12 Monate abgerechnet sind, wird die Höhe der Sicherheitsle</w:t>
      </w:r>
      <w:r w:rsidRPr="00D209F3">
        <w:t>i</w:t>
      </w:r>
      <w:r w:rsidRPr="00D209F3">
        <w:t>stung entsprechend aus den (der) bisher erfolgten Bilanzkreisabrechnung(en) ermi</w:t>
      </w:r>
      <w:r w:rsidRPr="00D209F3">
        <w:t>t</w:t>
      </w:r>
      <w:r>
        <w:t>telt;</w:t>
      </w:r>
    </w:p>
    <w:p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die voraussichtlich</w:t>
      </w:r>
      <w:r>
        <w:t>e Forderungshöhe aufgrund der</w:t>
      </w:r>
      <w:r w:rsidRPr="00D209F3">
        <w:t xml:space="preserve"> abzurechnende</w:t>
      </w:r>
      <w:r>
        <w:t>n</w:t>
      </w:r>
      <w:r w:rsidRPr="00D209F3">
        <w:t xml:space="preserve"> Menge</w:t>
      </w:r>
      <w:r>
        <w:t xml:space="preserve"> seit der letzten Abrechnung bis zum Zeitpunkt der Anforderung der Sicherheitsleistung. </w:t>
      </w:r>
      <w:r w:rsidRPr="00D209F3">
        <w:t>Für den Fall, dass eine erfolgreiche Korrektur der Allokationsdaten bis M+12 Werktagen bzw. ein Clearing bis z</w:t>
      </w:r>
      <w:r w:rsidR="00F73500">
        <w:t>um Zeitpunkt M+</w:t>
      </w:r>
      <w:r>
        <w:t xml:space="preserve">2 Monate – 10 </w:t>
      </w:r>
      <w:r w:rsidRPr="00D209F3">
        <w:t xml:space="preserve">Werktage </w:t>
      </w:r>
      <w:r w:rsidR="00335B18">
        <w:t xml:space="preserve">entsprechend den </w:t>
      </w:r>
      <w:r w:rsidR="00DC0BFC">
        <w:t>Regelungen</w:t>
      </w:r>
      <w:r w:rsidR="00335B18">
        <w:t xml:space="preserve"> des Bilanzkreisvertrages </w:t>
      </w:r>
      <w:r w:rsidRPr="00D209F3">
        <w:t xml:space="preserve">stattgefunden hat, ist die Sicherheitsleistung </w:t>
      </w:r>
      <w:r>
        <w:t xml:space="preserve">anteilig </w:t>
      </w:r>
      <w:r w:rsidRPr="00D209F3">
        <w:t>un</w:t>
      </w:r>
      <w:r>
        <w:t>verzüglich zurück zu erstatten.</w:t>
      </w:r>
    </w:p>
    <w:p w:rsidR="00F37F8A" w:rsidRPr="001F6E62" w:rsidRDefault="00335B18" w:rsidP="00522399">
      <w:pPr>
        <w:autoSpaceDE w:val="0"/>
        <w:autoSpaceDN w:val="0"/>
        <w:adjustRightInd w:val="0"/>
        <w:ind w:left="567"/>
        <w:rPr>
          <w:rFonts w:ascii="Helvetica" w:hAnsi="Helvetica" w:cs="Helvetica"/>
          <w:szCs w:val="22"/>
        </w:rPr>
      </w:pPr>
      <w:r>
        <w:rPr>
          <w:rFonts w:ascii="Helvetica" w:hAnsi="Helvetica" w:cs="Helvetica"/>
          <w:szCs w:val="22"/>
        </w:rPr>
        <w:t>Im Falle des</w:t>
      </w:r>
      <w:r w:rsidR="00F37F8A" w:rsidRPr="001F6E62">
        <w:rPr>
          <w:rFonts w:ascii="Helvetica" w:hAnsi="Helvetica" w:cs="Helvetica"/>
          <w:szCs w:val="22"/>
        </w:rPr>
        <w:t xml:space="preserve"> </w:t>
      </w:r>
      <w:r>
        <w:rPr>
          <w:rFonts w:ascii="Helvetica" w:hAnsi="Helvetica" w:cs="Helvetica"/>
          <w:szCs w:val="22"/>
        </w:rPr>
        <w:t>N</w:t>
      </w:r>
      <w:r w:rsidR="00F37F8A" w:rsidRPr="001F6E62">
        <w:rPr>
          <w:rFonts w:ascii="Helvetica" w:hAnsi="Helvetica" w:cs="Helvetica"/>
          <w:szCs w:val="22"/>
        </w:rPr>
        <w:t>euab</w:t>
      </w:r>
      <w:r>
        <w:rPr>
          <w:rFonts w:ascii="Helvetica" w:hAnsi="Helvetica" w:cs="Helvetica"/>
          <w:szCs w:val="22"/>
        </w:rPr>
        <w:t>schlusses</w:t>
      </w:r>
      <w:r w:rsidR="00DC0BFC">
        <w:rPr>
          <w:rFonts w:ascii="Helvetica" w:hAnsi="Helvetica" w:cs="Helvetica"/>
          <w:szCs w:val="22"/>
        </w:rPr>
        <w:t xml:space="preserve"> </w:t>
      </w:r>
      <w:r>
        <w:rPr>
          <w:rFonts w:ascii="Helvetica" w:hAnsi="Helvetica" w:cs="Helvetica"/>
          <w:szCs w:val="22"/>
        </w:rPr>
        <w:t>eines</w:t>
      </w:r>
      <w:r w:rsidR="00F37F8A" w:rsidRPr="001F6E62">
        <w:rPr>
          <w:rFonts w:ascii="Helvetica" w:hAnsi="Helvetica" w:cs="Helvetica"/>
          <w:szCs w:val="22"/>
        </w:rPr>
        <w:t xml:space="preserve"> Bilanzkreisvertr</w:t>
      </w:r>
      <w:r>
        <w:rPr>
          <w:rFonts w:ascii="Helvetica" w:hAnsi="Helvetica" w:cs="Helvetica"/>
          <w:szCs w:val="22"/>
        </w:rPr>
        <w:t>ages</w:t>
      </w:r>
      <w:r w:rsidR="00DA14FA" w:rsidRPr="001F6E62">
        <w:rPr>
          <w:rFonts w:ascii="Helvetica" w:hAnsi="Helvetica" w:cs="Helvetica"/>
          <w:szCs w:val="22"/>
        </w:rPr>
        <w:t xml:space="preserve"> hat der Marktgebietsveran</w:t>
      </w:r>
      <w:r w:rsidR="00DA14FA" w:rsidRPr="001F6E62">
        <w:rPr>
          <w:rFonts w:ascii="Helvetica" w:hAnsi="Helvetica" w:cs="Helvetica"/>
          <w:szCs w:val="22"/>
        </w:rPr>
        <w:t>t</w:t>
      </w:r>
      <w:r w:rsidR="00DA14FA" w:rsidRPr="001F6E62">
        <w:rPr>
          <w:rFonts w:ascii="Helvetica" w:hAnsi="Helvetica" w:cs="Helvetica"/>
          <w:szCs w:val="22"/>
        </w:rPr>
        <w:t xml:space="preserve">wortliche das Recht, </w:t>
      </w:r>
      <w:r>
        <w:rPr>
          <w:rFonts w:ascii="Helvetica" w:hAnsi="Helvetica" w:cs="Helvetica"/>
          <w:szCs w:val="22"/>
        </w:rPr>
        <w:t xml:space="preserve">in Abweichung von </w:t>
      </w:r>
      <w:r w:rsidR="00DC0BFC">
        <w:rPr>
          <w:rFonts w:ascii="Helvetica" w:hAnsi="Helvetica" w:cs="Helvetica"/>
          <w:szCs w:val="22"/>
        </w:rPr>
        <w:t xml:space="preserve">Ziffer 6a) und b) </w:t>
      </w:r>
      <w:r w:rsidR="00DA14FA" w:rsidRPr="001F6E62">
        <w:rPr>
          <w:rFonts w:ascii="Helvetica" w:hAnsi="Helvetica" w:cs="Helvetica"/>
          <w:szCs w:val="22"/>
        </w:rPr>
        <w:t xml:space="preserve">unter den Voraussetzungen der Ziffer 2, </w:t>
      </w:r>
      <w:r w:rsidR="00ED7815" w:rsidRPr="001F6E62">
        <w:rPr>
          <w:rFonts w:ascii="Helvetica" w:hAnsi="Helvetica" w:cs="Helvetica"/>
          <w:szCs w:val="22"/>
        </w:rPr>
        <w:t xml:space="preserve">wie dem Vorliegen </w:t>
      </w:r>
      <w:r w:rsidR="00DA14FA" w:rsidRPr="001F6E62">
        <w:rPr>
          <w:rFonts w:ascii="Helvetica" w:hAnsi="Helvetica" w:cs="Helvetica"/>
          <w:szCs w:val="22"/>
        </w:rPr>
        <w:t>eine</w:t>
      </w:r>
      <w:r w:rsidR="00ED7815" w:rsidRPr="001F6E62">
        <w:rPr>
          <w:rFonts w:ascii="Helvetica" w:hAnsi="Helvetica" w:cs="Helvetica"/>
          <w:szCs w:val="22"/>
        </w:rPr>
        <w:t>r</w:t>
      </w:r>
      <w:r w:rsidR="00DA14FA" w:rsidRPr="001F6E62">
        <w:rPr>
          <w:rFonts w:ascii="Helvetica" w:hAnsi="Helvetica" w:cs="Helvetica"/>
          <w:szCs w:val="22"/>
        </w:rPr>
        <w:t xml:space="preserve"> begründete</w:t>
      </w:r>
      <w:r w:rsidR="00ED7815" w:rsidRPr="001F6E62">
        <w:rPr>
          <w:rFonts w:ascii="Helvetica" w:hAnsi="Helvetica" w:cs="Helvetica"/>
          <w:szCs w:val="22"/>
        </w:rPr>
        <w:t>n</w:t>
      </w:r>
      <w:r w:rsidR="00DA14FA" w:rsidRPr="001F6E62">
        <w:rPr>
          <w:rFonts w:ascii="Helvetica" w:hAnsi="Helvetica" w:cs="Helvetica"/>
          <w:szCs w:val="22"/>
        </w:rPr>
        <w:t xml:space="preserve"> Besorgnis,</w:t>
      </w:r>
      <w:r w:rsidR="00F37F8A" w:rsidRPr="001F6E62">
        <w:rPr>
          <w:rFonts w:ascii="Helvetica" w:hAnsi="Helvetica" w:cs="Helvetica"/>
          <w:szCs w:val="22"/>
        </w:rPr>
        <w:t xml:space="preserve"> </w:t>
      </w:r>
      <w:r w:rsidR="00DA14FA" w:rsidRPr="001F6E62">
        <w:rPr>
          <w:rFonts w:ascii="Helvetica" w:hAnsi="Helvetica" w:cs="Helvetica"/>
          <w:szCs w:val="22"/>
        </w:rPr>
        <w:t>eine</w:t>
      </w:r>
      <w:r w:rsidR="00F37F8A" w:rsidRPr="001F6E62">
        <w:rPr>
          <w:rFonts w:ascii="Helvetica" w:hAnsi="Helvetica" w:cs="Helvetica"/>
          <w:szCs w:val="22"/>
        </w:rPr>
        <w:t xml:space="preserve"> Sicherheitsleistung</w:t>
      </w:r>
      <w:r w:rsidR="00DA14FA" w:rsidRPr="001F6E62">
        <w:rPr>
          <w:rFonts w:ascii="Helvetica" w:hAnsi="Helvetica" w:cs="Helvetica"/>
          <w:szCs w:val="22"/>
        </w:rPr>
        <w:t xml:space="preserve"> in Höhe von</w:t>
      </w:r>
      <w:r w:rsidR="00F37F8A" w:rsidRPr="001F6E62">
        <w:rPr>
          <w:rFonts w:ascii="Helvetica" w:hAnsi="Helvetica" w:cs="Helvetica"/>
          <w:szCs w:val="22"/>
        </w:rPr>
        <w:t xml:space="preserve"> 100.000,- €</w:t>
      </w:r>
      <w:r w:rsidR="00AE0F78" w:rsidRPr="001F6E62">
        <w:rPr>
          <w:rFonts w:ascii="Helvetica" w:hAnsi="Helvetica" w:cs="Helvetica"/>
          <w:szCs w:val="22"/>
        </w:rPr>
        <w:t xml:space="preserve"> zu verlangen</w:t>
      </w:r>
      <w:r>
        <w:rPr>
          <w:rFonts w:ascii="Helvetica" w:hAnsi="Helvetica" w:cs="Helvetica"/>
          <w:szCs w:val="22"/>
        </w:rPr>
        <w:t>.</w:t>
      </w:r>
      <w:r w:rsidR="00F37F8A" w:rsidRPr="001F6E62">
        <w:rPr>
          <w:rFonts w:ascii="Helvetica" w:hAnsi="Helvetica" w:cs="Helvetica"/>
          <w:szCs w:val="22"/>
        </w:rPr>
        <w:t xml:space="preserve"> Nach Ablauf des ersten Liefermonats hat der Marktgebietsverantwortliche eine Berechnung der Höhe der Sicherheitsleistung en</w:t>
      </w:r>
      <w:r w:rsidR="00F37F8A" w:rsidRPr="001F6E62">
        <w:rPr>
          <w:rFonts w:ascii="Helvetica" w:hAnsi="Helvetica" w:cs="Helvetica"/>
          <w:szCs w:val="22"/>
        </w:rPr>
        <w:t>t</w:t>
      </w:r>
      <w:r w:rsidR="00F37F8A" w:rsidRPr="001F6E62">
        <w:rPr>
          <w:rFonts w:ascii="Helvetica" w:hAnsi="Helvetica" w:cs="Helvetica"/>
          <w:szCs w:val="22"/>
        </w:rPr>
        <w:t xml:space="preserve">sprechend Ziffer </w:t>
      </w:r>
      <w:r w:rsidR="00DC0BFC">
        <w:rPr>
          <w:rFonts w:ascii="Helvetica" w:hAnsi="Helvetica" w:cs="Helvetica"/>
          <w:szCs w:val="22"/>
        </w:rPr>
        <w:t>6</w:t>
      </w:r>
      <w:r w:rsidR="00F37F8A" w:rsidRPr="001F6E62">
        <w:rPr>
          <w:rFonts w:ascii="Helvetica" w:hAnsi="Helvetica" w:cs="Helvetica"/>
          <w:szCs w:val="22"/>
        </w:rPr>
        <w:t xml:space="preserve"> b) vorzunehmen.</w:t>
      </w:r>
    </w:p>
    <w:p w:rsidR="00A65F85" w:rsidRPr="008066F4" w:rsidRDefault="00A65F85" w:rsidP="00817985">
      <w:pPr>
        <w:numPr>
          <w:ilvl w:val="0"/>
          <w:numId w:val="56"/>
        </w:numPr>
      </w:pPr>
      <w:r w:rsidRPr="008066F4">
        <w:t xml:space="preserve">Der Marktgebietsverantwortliche </w:t>
      </w:r>
      <w:r>
        <w:t>kann eine geleistete Sicherheit in Anspruch nehmen, wenn er nach Verzugseintritt eine Zahlungserinnerung ausgesprochen hat und die mit der Zahlungserinnerung gesetzte angemessene Frist fruchtlos verstrichen ist</w:t>
      </w:r>
      <w:r w:rsidRPr="00A30246">
        <w:t>.</w:t>
      </w:r>
      <w:r>
        <w:t xml:space="preserve"> In einem solchen Fall kann der Marktgebietsverantwortliche die in Anspruch genommene Siche</w:t>
      </w:r>
      <w:r>
        <w:t>r</w:t>
      </w:r>
      <w:r>
        <w:t xml:space="preserve">heit unter den Voraussetzungen der Ziffer 8 nachfordern. </w:t>
      </w:r>
      <w:r w:rsidRPr="00A30246">
        <w:t xml:space="preserve">Die Sicherheit ist innerhalb von </w:t>
      </w:r>
      <w:r>
        <w:t>7</w:t>
      </w:r>
      <w:r w:rsidRPr="00A30246">
        <w:t xml:space="preserve"> Werktagen nach ihrer Anforderung vom </w:t>
      </w:r>
      <w:r>
        <w:t>Bilanzkreisverantwortlichen</w:t>
      </w:r>
      <w:r w:rsidRPr="00A30246">
        <w:t xml:space="preserve"> zu leis</w:t>
      </w:r>
      <w:r>
        <w:t>ten.</w:t>
      </w:r>
    </w:p>
    <w:p w:rsidR="003D27DE" w:rsidRDefault="008066F4" w:rsidP="00817985">
      <w:pPr>
        <w:numPr>
          <w:ilvl w:val="0"/>
          <w:numId w:val="56"/>
        </w:numPr>
      </w:pPr>
      <w:r w:rsidRPr="008066F4">
        <w:t>Eine Sicherheitsleistung ist</w:t>
      </w:r>
      <w:r w:rsidR="00E20A99">
        <w:t xml:space="preserve"> unverzüglich</w:t>
      </w:r>
      <w:r w:rsidRPr="008066F4">
        <w:t xml:space="preserve"> zurückzugeben, wenn die Voraussetzungen zu deren Erhebung entfallen sind. Der Marktgebietsverantwortliche hat das Fortbestehen eines begründeten Falles jeweils </w:t>
      </w:r>
      <w:r w:rsidR="009B21F6">
        <w:t xml:space="preserve">mindestens </w:t>
      </w:r>
      <w:r w:rsidRPr="008066F4">
        <w:t xml:space="preserve">halbjährlich zu überprüfen. </w:t>
      </w:r>
      <w:r w:rsidR="009B21F6">
        <w:t>Der Marktg</w:t>
      </w:r>
      <w:r w:rsidR="009B21F6">
        <w:t>e</w:t>
      </w:r>
      <w:r w:rsidR="009B21F6">
        <w:t>bietsverantwortliche prüft bei Fortbestehen</w:t>
      </w:r>
      <w:r w:rsidR="00335B18">
        <w:t xml:space="preserve"> der Voraussetzungen für die Erhebung der Sicherheitsleistung</w:t>
      </w:r>
      <w:r w:rsidR="009B21F6">
        <w:t xml:space="preserve">, ob die Höhe der Sicherheitsleistung der in Ziffer </w:t>
      </w:r>
      <w:r w:rsidR="00335B18">
        <w:t>6</w:t>
      </w:r>
      <w:r w:rsidR="009B21F6">
        <w:t xml:space="preserve"> beschriebenen Höhe entspricht. </w:t>
      </w:r>
      <w:r w:rsidRPr="008066F4">
        <w:t xml:space="preserve">Falls die vorgenannte Prüfung ergibt, dass der realisierbare Wert aller Sicherheitsleistungen </w:t>
      </w:r>
      <w:r w:rsidR="00F37F8A">
        <w:t xml:space="preserve">den anzuwendenden Wert gemäß Ziffer </w:t>
      </w:r>
      <w:r w:rsidR="00335B18">
        <w:t>6</w:t>
      </w:r>
      <w:r w:rsidR="00F37F8A">
        <w:t xml:space="preserve"> </w:t>
      </w:r>
      <w:r w:rsidRPr="008066F4">
        <w:t xml:space="preserve">nicht nur </w:t>
      </w:r>
      <w:r w:rsidR="00335B18">
        <w:t>vorüberg</w:t>
      </w:r>
      <w:r w:rsidR="00335B18">
        <w:t>e</w:t>
      </w:r>
      <w:r w:rsidR="00335B18">
        <w:t xml:space="preserve">hend </w:t>
      </w:r>
      <w:r w:rsidRPr="008066F4">
        <w:t>übersteigt, hat der Marktgebietsverantwortliche entsprechende Anteile der Siche</w:t>
      </w:r>
      <w:r w:rsidRPr="008066F4">
        <w:t>r</w:t>
      </w:r>
      <w:r w:rsidRPr="008066F4">
        <w:t>heitsleistung zurückzugeben. Sollten mehrere Sicherheiten geleistet worden sein, steht dem Marktgebietsverantwortlichen das Recht zu, eine der geleisteten Sicherheiten au</w:t>
      </w:r>
      <w:r w:rsidRPr="008066F4">
        <w:t>s</w:t>
      </w:r>
      <w:r w:rsidRPr="008066F4">
        <w:t xml:space="preserve">zuwählen und zurückzugeben. Soweit der realisierbare Wert aller Sicherheitsleistungen </w:t>
      </w:r>
      <w:r w:rsidR="00F37F8A">
        <w:t xml:space="preserve">den anzuwendenden Wert gemäß Ziffer </w:t>
      </w:r>
      <w:r w:rsidR="00DC0BFC">
        <w:t>6</w:t>
      </w:r>
      <w:r w:rsidRPr="008066F4">
        <w:t xml:space="preserve"> nicht nur </w:t>
      </w:r>
      <w:r w:rsidR="00F37F8A">
        <w:t>unwesentlich</w:t>
      </w:r>
      <w:r w:rsidRPr="008066F4">
        <w:t xml:space="preserve"> unterschreitet, kann der Marktgebietsverantwortliche eine Anpassung der Sicherheitsleistung verlangen.</w:t>
      </w:r>
    </w:p>
    <w:p w:rsidR="00335B18" w:rsidRPr="006B257D" w:rsidRDefault="006B257D" w:rsidP="006B257D">
      <w:pPr>
        <w:pStyle w:val="berschrift1"/>
      </w:pPr>
      <w:bookmarkStart w:id="52" w:name="_Toc476824432"/>
      <w:r>
        <w:t xml:space="preserve">§ </w:t>
      </w:r>
      <w:r w:rsidR="00D333C1">
        <w:t>29</w:t>
      </w:r>
      <w:r>
        <w:t xml:space="preserve"> </w:t>
      </w:r>
      <w:r w:rsidR="00335B18" w:rsidRPr="00335B18">
        <w:t>Vorauszahlung</w:t>
      </w:r>
      <w:bookmarkEnd w:id="52"/>
    </w:p>
    <w:p w:rsidR="009912D2" w:rsidRDefault="009912D2" w:rsidP="00817985">
      <w:pPr>
        <w:numPr>
          <w:ilvl w:val="0"/>
          <w:numId w:val="87"/>
        </w:numPr>
      </w:pPr>
      <w:r>
        <w:t xml:space="preserve">Der </w:t>
      </w:r>
      <w:r w:rsidRPr="009912D2">
        <w:t>Marktgebietsverantwortliche ist berechtigt</w:t>
      </w:r>
      <w:r>
        <w:t>,</w:t>
      </w:r>
      <w:r w:rsidRPr="009912D2">
        <w:t xml:space="preserve"> in begründeten Fällen gemäß § 2</w:t>
      </w:r>
      <w:r w:rsidR="00D333C1">
        <w:t>8</w:t>
      </w:r>
      <w:r w:rsidRPr="009912D2">
        <w:t xml:space="preserve"> Ziffer 2 vom Bilanzkreisverantwortlichen für Ansprüche aus diesem Vertrag die Zahlung im Voraus zu verlangen. Die Leistung der Vorauszahlung ist gegenüber dem Bilanzkrei</w:t>
      </w:r>
      <w:r w:rsidRPr="009912D2">
        <w:t>s</w:t>
      </w:r>
      <w:r w:rsidRPr="009912D2">
        <w:t>verantwortlichen in Textform zu begründen.</w:t>
      </w:r>
    </w:p>
    <w:p w:rsidR="009912D2" w:rsidRPr="002315D3" w:rsidRDefault="009912D2" w:rsidP="009912D2">
      <w:pPr>
        <w:numPr>
          <w:ilvl w:val="0"/>
          <w:numId w:val="87"/>
        </w:numPr>
      </w:pPr>
      <w:r w:rsidRPr="002315D3">
        <w:t xml:space="preserve">Auf Anforderung des Marktgebietsverantwortlichen ist die Zahlung für den folgenden Monat (Liefermonat) im Voraus in voller Höhe zu entrichten. </w:t>
      </w:r>
    </w:p>
    <w:p w:rsidR="009912D2" w:rsidRPr="002315D3" w:rsidRDefault="009912D2" w:rsidP="009912D2">
      <w:pPr>
        <w:numPr>
          <w:ilvl w:val="1"/>
          <w:numId w:val="58"/>
        </w:numPr>
        <w:tabs>
          <w:tab w:val="clear" w:pos="1440"/>
          <w:tab w:val="num" w:pos="851"/>
        </w:tabs>
        <w:ind w:left="851" w:hanging="284"/>
      </w:pPr>
      <w:r w:rsidRPr="002315D3">
        <w:t xml:space="preserve">Der Marktgebietsverantwortliche kann eine monatliche Vorauszahlung verlangen. </w:t>
      </w:r>
    </w:p>
    <w:p w:rsidR="009912D2" w:rsidRPr="002315D3" w:rsidRDefault="009912D2" w:rsidP="009912D2">
      <w:pPr>
        <w:numPr>
          <w:ilvl w:val="1"/>
          <w:numId w:val="58"/>
        </w:numPr>
        <w:tabs>
          <w:tab w:val="clear" w:pos="1440"/>
          <w:tab w:val="num" w:pos="851"/>
        </w:tabs>
        <w:ind w:left="851" w:hanging="284"/>
      </w:pPr>
      <w:r w:rsidRPr="002315D3">
        <w:t>Die Höhe der Vorauszahlung wird monatlich angepasst und entspricht den vorau</w:t>
      </w:r>
      <w:r w:rsidRPr="002315D3">
        <w:t>s</w:t>
      </w:r>
      <w:r w:rsidRPr="002315D3">
        <w:t>sichtlich anfallenden Entgelten. Dabei hat der Marktgebietsverantwortliche die U</w:t>
      </w:r>
      <w:r w:rsidRPr="002315D3">
        <w:t>m</w:t>
      </w:r>
      <w:r w:rsidRPr="002315D3">
        <w:t>stände des Einzelfalles angemessen zu berücksichtigen. Der Marktgebietsveran</w:t>
      </w:r>
      <w:r w:rsidRPr="002315D3">
        <w:t>t</w:t>
      </w:r>
      <w:r w:rsidRPr="002315D3">
        <w:t>wortliche teilt dem Bilanzkreisverantwortlichen die Höhe der monatlich zu leistenden Vorauszahlung jeweils bis zum 13. Werktag des dem Liefermonat vorhergehenden Monats mit. Die Vorauszahlung ist mit Wertstellung zum 3. Werktag des Lieferm</w:t>
      </w:r>
      <w:r w:rsidRPr="002315D3">
        <w:t>o</w:t>
      </w:r>
      <w:r w:rsidRPr="002315D3">
        <w:t>nats auf das Konto des Marktgebeitsverantwortlichen zu zahlen.</w:t>
      </w:r>
    </w:p>
    <w:p w:rsidR="009912D2" w:rsidRPr="002315D3" w:rsidRDefault="009912D2" w:rsidP="009912D2">
      <w:pPr>
        <w:numPr>
          <w:ilvl w:val="1"/>
          <w:numId w:val="58"/>
        </w:numPr>
        <w:tabs>
          <w:tab w:val="clear" w:pos="1440"/>
          <w:tab w:val="num" w:pos="851"/>
        </w:tabs>
        <w:ind w:left="851" w:hanging="284"/>
      </w:pPr>
      <w:r w:rsidRPr="002315D3">
        <w:t>Die Vorauszahlung wird monatlich bis zum 13. Werktag des Folgemonats abgerec</w:t>
      </w:r>
      <w:r w:rsidRPr="002315D3">
        <w:t>h</w:t>
      </w:r>
      <w:r w:rsidRPr="002315D3">
        <w:t>net und entstehende Salden werden ohne Verrechnung mit anderen Forderungen monatlich ausgeglichen.</w:t>
      </w:r>
    </w:p>
    <w:p w:rsidR="009912D2" w:rsidRDefault="009912D2" w:rsidP="009912D2">
      <w:pPr>
        <w:numPr>
          <w:ilvl w:val="1"/>
          <w:numId w:val="58"/>
        </w:numPr>
        <w:tabs>
          <w:tab w:val="clear" w:pos="1440"/>
          <w:tab w:val="num" w:pos="851"/>
        </w:tabs>
        <w:ind w:left="851" w:hanging="284"/>
      </w:pPr>
      <w:r w:rsidRPr="002315D3">
        <w:t>Wenn die Vorauszahlung nicht, nicht vollständig oder nicht fristgerecht gezahlt wird, ist der Marktgebeitsverantwortliche zur fristlosen Kündigung des Bilanzkreisvertr</w:t>
      </w:r>
      <w:r w:rsidRPr="002315D3">
        <w:t>a</w:t>
      </w:r>
      <w:r w:rsidRPr="002315D3">
        <w:t xml:space="preserve">ges berechtigt. </w:t>
      </w:r>
    </w:p>
    <w:p w:rsidR="009912D2" w:rsidRPr="002315D3" w:rsidRDefault="009912D2" w:rsidP="009912D2">
      <w:pPr>
        <w:pStyle w:val="Listenabsatz"/>
        <w:numPr>
          <w:ilvl w:val="1"/>
          <w:numId w:val="58"/>
        </w:numPr>
        <w:tabs>
          <w:tab w:val="clear" w:pos="1440"/>
          <w:tab w:val="num" w:pos="851"/>
        </w:tabs>
        <w:ind w:left="851" w:hanging="284"/>
      </w:pPr>
      <w:r w:rsidRPr="002315D3">
        <w:t>Der Marktgebietsverantwortliche kann in seinen ergänzenden Geschäftsbedingu</w:t>
      </w:r>
      <w:r w:rsidRPr="002315D3">
        <w:t>n</w:t>
      </w:r>
      <w:r w:rsidRPr="002315D3">
        <w:t>gen abweichende Regelungen zum Turnus der Vorauszahlung definieren.</w:t>
      </w:r>
    </w:p>
    <w:p w:rsidR="003D27DE" w:rsidRDefault="00335B18" w:rsidP="00817985">
      <w:pPr>
        <w:numPr>
          <w:ilvl w:val="0"/>
          <w:numId w:val="87"/>
        </w:numPr>
      </w:pPr>
      <w:r w:rsidRPr="00335B18">
        <w:t>Die Höhe der Vorauszahlungen bemisst sich nach den durchschnittlichen monatlichen Forderungshöhen aus den Bilanzkreisabrechnungen der letzten 12 Monate gegenüber dem Bilanzkreisverantwortlichen. Für den Fall, dass zumindest ein, aber noch keine 12 Monate abgerechnet sind, wird die Höhe der Sicherheitsleistung entsprechend aus den (der) bisher erfolgten Bilanzkreisabrechnung(en) ermittelt.</w:t>
      </w:r>
      <w:r w:rsidR="00DC0CFE">
        <w:t xml:space="preserve"> </w:t>
      </w:r>
      <w:r w:rsidRPr="00335B18">
        <w:t>Besteht nach den Umstä</w:t>
      </w:r>
      <w:r w:rsidRPr="00335B18">
        <w:t>n</w:t>
      </w:r>
      <w:r w:rsidRPr="00335B18">
        <w:t>den des Einzelfalles Grund zu der Annahme, dass die tatsächlichen Forderungen des Marktgebietsverantwortlichen aus den Bilanzkreisabrechnungen gegenüber dem B</w:t>
      </w:r>
      <w:r w:rsidRPr="00335B18">
        <w:t>i</w:t>
      </w:r>
      <w:r w:rsidRPr="00335B18">
        <w:t>lanzkreisverantwortlichen erheblich höher oder erheblich niedriger sein werden als die ermittelten durchschnittlichen Forderungshöhen, so ist dies bei der Bestimmung der Vorauszahlungshöhe durch den Marktgebietsverantwortlichen angemessen zu berüc</w:t>
      </w:r>
      <w:r w:rsidRPr="00335B18">
        <w:t>k</w:t>
      </w:r>
      <w:r w:rsidRPr="00335B18">
        <w:t>sichtigen. Abweichungen von 10 % gelten hierbei als erheblich.</w:t>
      </w:r>
    </w:p>
    <w:p w:rsidR="00335B18" w:rsidRPr="00335B18" w:rsidRDefault="00335B18" w:rsidP="00335B18">
      <w:pPr>
        <w:ind w:left="567"/>
      </w:pPr>
      <w:r w:rsidRPr="00335B18">
        <w:t xml:space="preserve">Im Falle des Neuabschlusses eines Bilanzkreisvertrages beträgt die Vorauszahlung </w:t>
      </w:r>
      <w:r w:rsidR="00DC0CFE">
        <w:t>100.000 €</w:t>
      </w:r>
      <w:r w:rsidRPr="00335B18">
        <w:t>. Nach Ablauf des ersten Liefermonats hat der Marktgebietsverantwortliche eine Berechnung der Höhe der Vorauszahlung entsprechend den vorstehenden Reg</w:t>
      </w:r>
      <w:r w:rsidRPr="00335B18">
        <w:t>e</w:t>
      </w:r>
      <w:r w:rsidRPr="00335B18">
        <w:t>lungen vorzunehmen.</w:t>
      </w:r>
    </w:p>
    <w:p w:rsidR="003D27DE" w:rsidRDefault="00335B18" w:rsidP="00817985">
      <w:pPr>
        <w:numPr>
          <w:ilvl w:val="0"/>
          <w:numId w:val="87"/>
        </w:numPr>
      </w:pPr>
      <w:r w:rsidRPr="00335B18">
        <w:t>Wenn und soweit die zu leistende Vorauszahlung die tatsächlichen Forderungen aus der Bilanzkreisabrechnung erheblich unterschreiten, kann der Marktgebietsverantwortl</w:t>
      </w:r>
      <w:r w:rsidRPr="00335B18">
        <w:t>i</w:t>
      </w:r>
      <w:r w:rsidRPr="00335B18">
        <w:t>che durch Erklärung gegenüber dem Bilanzkreisverantwortlichen in Textform eine en</w:t>
      </w:r>
      <w:r w:rsidRPr="00335B18">
        <w:t>t</w:t>
      </w:r>
      <w:r w:rsidRPr="00335B18">
        <w:t>sprechende Erhöhung der Vorauszahlungen zum nächsten Kalendermonat verlangen. Wenn und soweit die zu leistenden Vorauszahlungen die tatsächlichen Forderungen aus der Bilanzkreisabrechnungerheblich überschreiten, ist der Marktgebietsverantwor</w:t>
      </w:r>
      <w:r w:rsidRPr="00335B18">
        <w:t>t</w:t>
      </w:r>
      <w:r w:rsidRPr="00335B18">
        <w:t>liche verpflichtet, durch Erklärung gegenüber dem Bilanzkreisverantwortlichen in Tex</w:t>
      </w:r>
      <w:r w:rsidRPr="00335B18">
        <w:t>t</w:t>
      </w:r>
      <w:r w:rsidRPr="00335B18">
        <w:t>form eine entsprechende Reduzierung der Vorauszahlungshöhe zum nächsten Kale</w:t>
      </w:r>
      <w:r w:rsidRPr="00335B18">
        <w:t>n</w:t>
      </w:r>
      <w:r w:rsidRPr="00335B18">
        <w:t>dermonat vorzunehmen. Eine Unter- bzw. Überschreitung der Vorauszahlung gilt j</w:t>
      </w:r>
      <w:r w:rsidRPr="00335B18">
        <w:t>e</w:t>
      </w:r>
      <w:r w:rsidRPr="00335B18">
        <w:t>weils dann als erheblich, wenn sie von den tatsächlichen Forderungen aus der Bilanzkreisabrechnungum mindestens 10 % abweicht.</w:t>
      </w:r>
    </w:p>
    <w:p w:rsidR="003D27DE" w:rsidRDefault="00DC0CFE" w:rsidP="00817985">
      <w:pPr>
        <w:numPr>
          <w:ilvl w:val="0"/>
          <w:numId w:val="87"/>
        </w:numPr>
      </w:pPr>
      <w:r>
        <w:t>Die Details zur Abwicklung der Vorauszahlungen werden bei Anforderung vom Mark</w:t>
      </w:r>
      <w:r>
        <w:t>t</w:t>
      </w:r>
      <w:r>
        <w:t xml:space="preserve">gebietsverantwortlichen an den Bilanzkreisverantwortlichen separat mitgeteilt. </w:t>
      </w:r>
    </w:p>
    <w:p w:rsidR="003D27DE" w:rsidRDefault="00335B18" w:rsidP="00817985">
      <w:pPr>
        <w:numPr>
          <w:ilvl w:val="0"/>
          <w:numId w:val="87"/>
        </w:numPr>
      </w:pPr>
      <w:r w:rsidRPr="00335B18">
        <w:t xml:space="preserve">Die Pflicht zur Vorauszahlung endet, sobald die Voraussetzungen für die Berechtigung des Marktgebietsverantwortlichen zur Anforderung einer Sicherheitsleistung nach § </w:t>
      </w:r>
      <w:r w:rsidR="009912D2">
        <w:t>2</w:t>
      </w:r>
      <w:r w:rsidR="00D333C1">
        <w:t>8</w:t>
      </w:r>
      <w:r w:rsidRPr="00335B18">
        <w:t xml:space="preserve"> entfallen.</w:t>
      </w:r>
    </w:p>
    <w:p w:rsidR="00CE1213" w:rsidRPr="008E4B5A" w:rsidRDefault="007D01FB" w:rsidP="007D01FB">
      <w:pPr>
        <w:pStyle w:val="berschrift1"/>
      </w:pPr>
      <w:bookmarkStart w:id="53" w:name="_Toc288076243"/>
      <w:bookmarkStart w:id="54" w:name="_Toc288076921"/>
      <w:bookmarkStart w:id="55" w:name="_Toc288077262"/>
      <w:bookmarkStart w:id="56" w:name="_Toc288078089"/>
      <w:bookmarkStart w:id="57" w:name="_Toc288076246"/>
      <w:bookmarkStart w:id="58" w:name="_Toc288076924"/>
      <w:bookmarkStart w:id="59" w:name="_Toc288077265"/>
      <w:bookmarkStart w:id="60" w:name="_Toc288078092"/>
      <w:bookmarkStart w:id="61" w:name="_Toc288076247"/>
      <w:bookmarkStart w:id="62" w:name="_Toc288076925"/>
      <w:bookmarkStart w:id="63" w:name="_Toc288077266"/>
      <w:bookmarkStart w:id="64" w:name="_Toc288078093"/>
      <w:bookmarkStart w:id="65" w:name="_Toc288076248"/>
      <w:bookmarkStart w:id="66" w:name="_Toc288076926"/>
      <w:bookmarkStart w:id="67" w:name="_Toc288077267"/>
      <w:bookmarkStart w:id="68" w:name="_Toc288078094"/>
      <w:bookmarkStart w:id="69" w:name="_Toc288076249"/>
      <w:bookmarkStart w:id="70" w:name="_Toc288076927"/>
      <w:bookmarkStart w:id="71" w:name="_Toc288077268"/>
      <w:bookmarkStart w:id="72" w:name="_Toc288078095"/>
      <w:bookmarkStart w:id="73" w:name="_Toc297207931"/>
      <w:bookmarkStart w:id="74" w:name="_Toc47682443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 3</w:t>
      </w:r>
      <w:r w:rsidR="00D333C1">
        <w:t>0</w:t>
      </w:r>
      <w:r>
        <w:t xml:space="preserve"> </w:t>
      </w:r>
      <w:r w:rsidR="00CE1213" w:rsidRPr="008066F4">
        <w:t>Änderungen des Vertrages</w:t>
      </w:r>
      <w:bookmarkEnd w:id="73"/>
      <w:bookmarkEnd w:id="74"/>
    </w:p>
    <w:p w:rsidR="003D27DE" w:rsidRDefault="00CE1213" w:rsidP="00817985">
      <w:pPr>
        <w:numPr>
          <w:ilvl w:val="0"/>
          <w:numId w:val="59"/>
        </w:numPr>
      </w:pPr>
      <w:r w:rsidRPr="008E4B5A">
        <w:t xml:space="preserve">Der </w:t>
      </w:r>
      <w:r>
        <w:rPr>
          <w:rFonts w:cs="Arial"/>
        </w:rPr>
        <w:t>Marktgebietsverantwortliche</w:t>
      </w:r>
      <w:r w:rsidRPr="008E4B5A">
        <w:t xml:space="preserve"> ist berechtigt</w:t>
      </w:r>
      <w:r>
        <w:t>,</w:t>
      </w:r>
      <w:r w:rsidRPr="008E4B5A">
        <w:t xml:space="preserve"> </w:t>
      </w:r>
      <w:r w:rsidR="00C1408E">
        <w:t xml:space="preserve">die Geschäftsbedingungen </w:t>
      </w:r>
      <w:r w:rsidRPr="008E4B5A">
        <w:t>diese</w:t>
      </w:r>
      <w:r w:rsidR="00C1408E">
        <w:t>s</w:t>
      </w:r>
      <w:r w:rsidRPr="008E4B5A">
        <w:t xml:space="preserve"> Ve</w:t>
      </w:r>
      <w:r w:rsidRPr="008E4B5A">
        <w:t>r</w:t>
      </w:r>
      <w:r w:rsidRPr="008E4B5A">
        <w:t>trag</w:t>
      </w:r>
      <w:r w:rsidR="00C1408E">
        <w:t>es</w:t>
      </w:r>
      <w:r w:rsidRPr="008E4B5A">
        <w:t xml:space="preserve"> mit sofortiger Wirkung zu ändern, sofern eine Änderung erforderlich ist, um ei</w:t>
      </w:r>
      <w:r w:rsidRPr="008E4B5A">
        <w:t>n</w:t>
      </w:r>
      <w:r w:rsidRPr="008E4B5A">
        <w:t>schlägigen Gesetzen oder Rechtsverordnungen, und / oder rechtsverbindlichen Vorg</w:t>
      </w:r>
      <w:r w:rsidRPr="008E4B5A">
        <w:t>a</w:t>
      </w:r>
      <w:r w:rsidRPr="008E4B5A">
        <w:t xml:space="preserve">ben nationaler oder internationaler Gerichte und Behörden, insbesondere Festlegungen </w:t>
      </w:r>
      <w:r w:rsidRPr="00AF0FE1">
        <w:t>und dazu ergangene</w:t>
      </w:r>
      <w:r w:rsidR="003E77B2">
        <w:t>n</w:t>
      </w:r>
      <w:r w:rsidRPr="00AF0FE1">
        <w:t xml:space="preserve"> Mitteilungen der</w:t>
      </w:r>
      <w:r w:rsidRPr="008E4B5A">
        <w:t xml:space="preserve"> Bundesnetzagentur, und / oder allgemein kan</w:t>
      </w:r>
      <w:r w:rsidRPr="008E4B5A">
        <w:t>n</w:t>
      </w:r>
      <w:r w:rsidRPr="008E4B5A">
        <w:t xml:space="preserve">ten Regeln der Technik zu entsprechen. In diesem Fall hat der </w:t>
      </w:r>
      <w:r>
        <w:rPr>
          <w:rFonts w:cs="Arial"/>
        </w:rPr>
        <w:t>Marktgebietsverantwor</w:t>
      </w:r>
      <w:r>
        <w:rPr>
          <w:rFonts w:cs="Arial"/>
        </w:rPr>
        <w:t>t</w:t>
      </w:r>
      <w:r>
        <w:rPr>
          <w:rFonts w:cs="Arial"/>
        </w:rPr>
        <w:t>liche</w:t>
      </w:r>
      <w:r w:rsidRPr="008E4B5A">
        <w:t xml:space="preserve"> den Bilanzkreisverantwortlichen unverzüglich hiervon in Kenntnis zu setzen. Erg</w:t>
      </w:r>
      <w:r w:rsidRPr="008E4B5A">
        <w:t>e</w:t>
      </w:r>
      <w:r w:rsidRPr="008E4B5A">
        <w:t>ben sich für den Bilanzkreisverantwortlichen durch die Änderung im Hinblick auf seinen Vertrag wesentliche wirtschaftliche Nachteile, so ist der Bilanzkreisverantwortliche b</w:t>
      </w:r>
      <w:r w:rsidRPr="008E4B5A">
        <w:t>e</w:t>
      </w:r>
      <w:r w:rsidRPr="008E4B5A">
        <w:t>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3D27DE" w:rsidRDefault="00C1408E" w:rsidP="00817985">
      <w:pPr>
        <w:numPr>
          <w:ilvl w:val="0"/>
          <w:numId w:val="59"/>
        </w:numPr>
      </w:pPr>
      <w:r>
        <w:t xml:space="preserve">Der Marktgebietsverantwortliche ist </w:t>
      </w:r>
      <w:r w:rsidR="003F27E1">
        <w:t xml:space="preserve">zudem </w:t>
      </w:r>
      <w:r>
        <w:t>berechtigt, die Geschäftsbedingungen di</w:t>
      </w:r>
      <w:r>
        <w:t>e</w:t>
      </w:r>
      <w:r>
        <w:t>ses Vertrages in anderen Fällen als Ziffer 1 für die Zukunft zu ändern</w:t>
      </w:r>
      <w:r w:rsidR="003F27E1">
        <w:t>, sofern ein b</w:t>
      </w:r>
      <w:r w:rsidR="003F27E1">
        <w:t>e</w:t>
      </w:r>
      <w:r w:rsidR="003F27E1">
        <w:t>rechtigtes Interesse des Marktgebietsverantwortlichen an Veränderungen der vertragl</w:t>
      </w:r>
      <w:r w:rsidR="003F27E1">
        <w:t>i</w:t>
      </w:r>
      <w:r w:rsidR="003F27E1">
        <w:t xml:space="preserve">chen Ausgestaltung </w:t>
      </w:r>
      <w:r w:rsidR="00AC1F59">
        <w:t>der Bilanzierung</w:t>
      </w:r>
      <w:r w:rsidR="003F27E1">
        <w:t xml:space="preserve"> besteht</w:t>
      </w:r>
      <w:r>
        <w:t>.</w:t>
      </w:r>
      <w:r w:rsidR="003F27E1" w:rsidRPr="003F27E1">
        <w:t xml:space="preserve"> </w:t>
      </w:r>
      <w:r w:rsidR="003F27E1">
        <w:t>Ein berechtigtes Interesse liegt insbeso</w:t>
      </w:r>
      <w:r w:rsidR="003F27E1">
        <w:t>n</w:t>
      </w:r>
      <w:r w:rsidR="003F27E1">
        <w:t xml:space="preserve">dere vor, wenn die Änderungen auf der Erstellung standardisierter </w:t>
      </w:r>
      <w:r w:rsidR="00AC1F59">
        <w:t>Bilanzkreis</w:t>
      </w:r>
      <w:r w:rsidR="003F27E1">
        <w:t xml:space="preserve">verträge gemäß § 3 Abs. </w:t>
      </w:r>
      <w:r w:rsidR="00AC1F59">
        <w:t>2</w:t>
      </w:r>
      <w:r w:rsidR="003F27E1">
        <w:t xml:space="preserve"> GasNZV beruhen. </w:t>
      </w:r>
      <w:r w:rsidRPr="00E205DC">
        <w:t xml:space="preserve">Der </w:t>
      </w:r>
      <w:r>
        <w:t>Marktgebietsverantwortliche</w:t>
      </w:r>
      <w:r w:rsidRPr="00E205DC">
        <w:t xml:space="preserve"> informiert den </w:t>
      </w:r>
      <w:r>
        <w:t>B</w:t>
      </w:r>
      <w:r>
        <w:t>i</w:t>
      </w:r>
      <w:r>
        <w:t>lanzkreisverantwortlichen</w:t>
      </w:r>
      <w:r w:rsidRPr="00E205DC">
        <w:t xml:space="preserve"> vorab, </w:t>
      </w:r>
      <w:r w:rsidR="00A86C54">
        <w:t>2</w:t>
      </w:r>
      <w:r w:rsidR="00A86C54" w:rsidRPr="00E205DC">
        <w:t xml:space="preserve"> </w:t>
      </w:r>
      <w:r w:rsidRPr="00E205DC">
        <w:t>Monat</w:t>
      </w:r>
      <w:r>
        <w:t>e</w:t>
      </w:r>
      <w:r w:rsidRPr="00E205DC">
        <w:t xml:space="preserve"> vor dem Wirksamkeitszeitpunkt, über die geänderten </w:t>
      </w:r>
      <w:r>
        <w:t>Geschäfts</w:t>
      </w:r>
      <w:r w:rsidRPr="00E205DC">
        <w:t xml:space="preserve">bedingungen </w:t>
      </w:r>
      <w:r>
        <w:t xml:space="preserve">dieses Vertrages </w:t>
      </w:r>
      <w:r w:rsidRPr="00E205DC">
        <w:t xml:space="preserve">in Textform und veröffentlicht die geänderten </w:t>
      </w:r>
      <w:r>
        <w:t>Geschäfts</w:t>
      </w:r>
      <w:r w:rsidRPr="00E205DC">
        <w:t xml:space="preserve">bedingungen </w:t>
      </w:r>
      <w:r>
        <w:t xml:space="preserve">dieses Vertrages </w:t>
      </w:r>
      <w:r w:rsidRPr="00E205DC">
        <w:t xml:space="preserve">auf seiner Internetseite. </w:t>
      </w:r>
      <w:r w:rsidR="00685B98">
        <w:t>In b</w:t>
      </w:r>
      <w:r w:rsidR="00685B98">
        <w:t>e</w:t>
      </w:r>
      <w:r w:rsidR="00685B98">
        <w:t xml:space="preserve">gründeten Fällen kann der Marktgebietsverantwortliche von der in Satz </w:t>
      </w:r>
      <w:r w:rsidR="003F27E1">
        <w:t>3</w:t>
      </w:r>
      <w:r w:rsidR="00685B98">
        <w:t xml:space="preserve"> genannten Frist abweichen. </w:t>
      </w:r>
      <w:r w:rsidRPr="00E205DC">
        <w:t xml:space="preserve">Die Änderung der </w:t>
      </w:r>
      <w:r>
        <w:t>Geschäft</w:t>
      </w:r>
      <w:r w:rsidRPr="00E205DC">
        <w:t xml:space="preserve">sbedingungen </w:t>
      </w:r>
      <w:r>
        <w:t xml:space="preserve">dieses Vertrages </w:t>
      </w:r>
      <w:r w:rsidRPr="00E205DC">
        <w:t xml:space="preserve">gilt durch den </w:t>
      </w:r>
      <w:r>
        <w:t>Bilanzkreisverantwortlichen</w:t>
      </w:r>
      <w:r w:rsidRPr="00E205DC">
        <w:t xml:space="preserve"> als angenommen, sofern dieser nicht binnen </w:t>
      </w:r>
      <w:r w:rsidR="005946BF">
        <w:t>15</w:t>
      </w:r>
      <w:r w:rsidRPr="00E205DC">
        <w:t xml:space="preserve"> Wer</w:t>
      </w:r>
      <w:r w:rsidRPr="00E205DC">
        <w:t>k</w:t>
      </w:r>
      <w:r w:rsidRPr="00E205DC">
        <w:t xml:space="preserve">tagen </w:t>
      </w:r>
      <w:r>
        <w:t xml:space="preserve">ab Zugang der Information </w:t>
      </w:r>
      <w:r w:rsidRPr="00E205DC">
        <w:t xml:space="preserve">der Änderung </w:t>
      </w:r>
      <w:r w:rsidR="003F27E1">
        <w:t>kündigt</w:t>
      </w:r>
      <w:r w:rsidRPr="00E205DC">
        <w:t>.</w:t>
      </w:r>
      <w:r w:rsidR="003F27E1">
        <w:t xml:space="preserve"> </w:t>
      </w:r>
      <w:r w:rsidR="009912D2">
        <w:t>In diesem Fall wird die Künd</w:t>
      </w:r>
      <w:r w:rsidR="009912D2">
        <w:t>i</w:t>
      </w:r>
      <w:r w:rsidR="009912D2">
        <w:t xml:space="preserve">gung zum Wirksamkeitszeitpunkt der Änderung wirksam. </w:t>
      </w:r>
      <w:r w:rsidR="003F27E1">
        <w:t>Eine Entschädigung ist dabei ausgeschlossen.</w:t>
      </w:r>
      <w:r w:rsidRPr="00E205DC">
        <w:t xml:space="preserve"> </w:t>
      </w:r>
      <w:r w:rsidR="003F27E1" w:rsidRPr="00E205DC">
        <w:t xml:space="preserve">Der </w:t>
      </w:r>
      <w:r w:rsidR="003F27E1">
        <w:t>Marktgebietsverantwortliche</w:t>
      </w:r>
      <w:r w:rsidR="003F27E1" w:rsidRPr="00E205DC">
        <w:t xml:space="preserve"> ist verpflichtet, den </w:t>
      </w:r>
      <w:r w:rsidR="003F27E1">
        <w:t>Bilanzkreisv</w:t>
      </w:r>
      <w:r w:rsidR="003F27E1">
        <w:t>e</w:t>
      </w:r>
      <w:r w:rsidR="003F27E1">
        <w:t>rantwortlichen</w:t>
      </w:r>
      <w:r w:rsidR="003F27E1" w:rsidRPr="00E205DC">
        <w:t xml:space="preserve"> auf den Beginn der </w:t>
      </w:r>
      <w:r w:rsidR="003F27E1">
        <w:t>Kündigungsfrist</w:t>
      </w:r>
      <w:r w:rsidR="003F27E1" w:rsidRPr="00E205DC">
        <w:t xml:space="preserve"> und auf die Wirkung </w:t>
      </w:r>
      <w:r w:rsidR="003F27E1">
        <w:t>der nicht au</w:t>
      </w:r>
      <w:r w:rsidR="003F27E1">
        <w:t>s</w:t>
      </w:r>
      <w:r w:rsidR="003F27E1">
        <w:t xml:space="preserve">geübten Kündigung als </w:t>
      </w:r>
      <w:r w:rsidR="003F27E1" w:rsidRPr="00E205DC">
        <w:t xml:space="preserve">Annahme der geänderten </w:t>
      </w:r>
      <w:r w:rsidR="003F27E1">
        <w:t>Geschäfts</w:t>
      </w:r>
      <w:r w:rsidR="003F27E1" w:rsidRPr="00E205DC">
        <w:t xml:space="preserve">bedingungen </w:t>
      </w:r>
      <w:r w:rsidR="003F27E1">
        <w:t>dieses Ve</w:t>
      </w:r>
      <w:r w:rsidR="003F27E1">
        <w:t>r</w:t>
      </w:r>
      <w:r w:rsidR="003F27E1">
        <w:t>trages</w:t>
      </w:r>
      <w:r w:rsidR="003F27E1" w:rsidRPr="00E205DC">
        <w:t xml:space="preserve"> hinzuweisen.</w:t>
      </w:r>
    </w:p>
    <w:p w:rsidR="003D27DE" w:rsidRDefault="00C1408E" w:rsidP="00817985">
      <w:pPr>
        <w:numPr>
          <w:ilvl w:val="0"/>
          <w:numId w:val="59"/>
        </w:numPr>
      </w:pPr>
      <w:r>
        <w:t xml:space="preserve">Änderungen der Entgelte erfolgen </w:t>
      </w:r>
      <w:r w:rsidR="00444804" w:rsidRPr="000A15B2">
        <w:t>g</w:t>
      </w:r>
      <w:r w:rsidR="000A15B2" w:rsidRPr="000A15B2">
        <w:t xml:space="preserve">emäß § </w:t>
      </w:r>
      <w:r w:rsidR="009912D2">
        <w:t>3</w:t>
      </w:r>
      <w:r w:rsidR="00D333C1">
        <w:t>1</w:t>
      </w:r>
      <w:r w:rsidR="00444804" w:rsidRPr="000A15B2">
        <w:t>.</w:t>
      </w:r>
    </w:p>
    <w:p w:rsidR="00CE1213" w:rsidRPr="008E4B5A" w:rsidRDefault="007D01FB" w:rsidP="007D01FB">
      <w:pPr>
        <w:pStyle w:val="berschrift1"/>
      </w:pPr>
      <w:bookmarkStart w:id="75" w:name="_Toc289806434"/>
      <w:bookmarkStart w:id="76" w:name="_Toc289807020"/>
      <w:bookmarkStart w:id="77" w:name="_Toc289807295"/>
      <w:bookmarkStart w:id="78" w:name="_Toc289807759"/>
      <w:bookmarkStart w:id="79" w:name="_Toc290041470"/>
      <w:bookmarkStart w:id="80" w:name="_Toc290041760"/>
      <w:bookmarkStart w:id="81" w:name="_Toc290049529"/>
      <w:bookmarkStart w:id="82" w:name="_Toc290049818"/>
      <w:bookmarkStart w:id="83" w:name="_Toc290050108"/>
      <w:bookmarkStart w:id="84" w:name="_Toc290277710"/>
      <w:bookmarkStart w:id="85" w:name="_Toc297207932"/>
      <w:bookmarkStart w:id="86" w:name="_Toc476824434"/>
      <w:bookmarkEnd w:id="75"/>
      <w:bookmarkEnd w:id="76"/>
      <w:bookmarkEnd w:id="77"/>
      <w:bookmarkEnd w:id="78"/>
      <w:bookmarkEnd w:id="79"/>
      <w:bookmarkEnd w:id="80"/>
      <w:bookmarkEnd w:id="81"/>
      <w:bookmarkEnd w:id="82"/>
      <w:bookmarkEnd w:id="83"/>
      <w:bookmarkEnd w:id="84"/>
      <w:r>
        <w:t>§ 3</w:t>
      </w:r>
      <w:r w:rsidR="00D333C1">
        <w:t>1</w:t>
      </w:r>
      <w:r>
        <w:t xml:space="preserve"> </w:t>
      </w:r>
      <w:r w:rsidR="00CE1213" w:rsidRPr="008E4B5A">
        <w:t>Änderungen der Entgelte</w:t>
      </w:r>
      <w:bookmarkEnd w:id="85"/>
      <w:bookmarkEnd w:id="86"/>
    </w:p>
    <w:p w:rsidR="003D27DE" w:rsidRPr="008E4B5A" w:rsidRDefault="003D27DE" w:rsidP="00817985">
      <w:pPr>
        <w:numPr>
          <w:ilvl w:val="0"/>
          <w:numId w:val="34"/>
        </w:numPr>
      </w:pPr>
      <w:r w:rsidRPr="008E4B5A">
        <w:t xml:space="preserve">Für Leistungen nach diesem Vertrag zahlt der Bilanzkreisverantwortliche an den </w:t>
      </w:r>
      <w:r>
        <w:rPr>
          <w:rFonts w:cs="Arial"/>
        </w:rPr>
        <w:t>Mark</w:t>
      </w:r>
      <w:r>
        <w:rPr>
          <w:rFonts w:cs="Arial"/>
        </w:rPr>
        <w:t>t</w:t>
      </w:r>
      <w:r>
        <w:rPr>
          <w:rFonts w:cs="Arial"/>
        </w:rPr>
        <w:t>gebietsverantwortlichen</w:t>
      </w:r>
      <w:r w:rsidRPr="008E4B5A">
        <w:t xml:space="preserve"> die auf Grundlage dieses Vertrages bestimmten Entgelte. En</w:t>
      </w:r>
      <w:r w:rsidRPr="008E4B5A">
        <w:t>t</w:t>
      </w:r>
      <w:r w:rsidRPr="008E4B5A">
        <w:t xml:space="preserve">gelte im Sinne des Satzes 1 </w:t>
      </w:r>
      <w:r w:rsidR="00E00D6F" w:rsidRPr="008E4B5A">
        <w:t xml:space="preserve">sind die </w:t>
      </w:r>
      <w:r w:rsidR="00E00D6F">
        <w:t>SLP- und RLM-Bilanzierungs</w:t>
      </w:r>
      <w:r w:rsidR="00E00D6F" w:rsidRPr="008E4B5A">
        <w:t>umlage</w:t>
      </w:r>
      <w:r w:rsidR="00E00D6F">
        <w:t>n</w:t>
      </w:r>
      <w:r w:rsidR="00E00D6F" w:rsidRPr="008E4B5A">
        <w:t xml:space="preserve">, </w:t>
      </w:r>
      <w:r w:rsidR="009912D2">
        <w:t>Flexibil</w:t>
      </w:r>
      <w:r w:rsidR="009912D2">
        <w:t>i</w:t>
      </w:r>
      <w:r w:rsidR="009912D2">
        <w:t>tätskostenbeitrag</w:t>
      </w:r>
      <w:r w:rsidR="00E00D6F" w:rsidRPr="008E4B5A">
        <w:t>, Konvertierungsentgelt</w:t>
      </w:r>
      <w:r w:rsidR="00E00D6F">
        <w:t>, Konvertierungsumlage, VHP-Entgelt, Diff</w:t>
      </w:r>
      <w:r w:rsidR="00E00D6F">
        <w:t>e</w:t>
      </w:r>
      <w:r w:rsidR="00E00D6F">
        <w:t>renzmengenentgelt</w:t>
      </w:r>
      <w:r w:rsidR="0004309E">
        <w:t xml:space="preserve"> und Ausgleichsenergieentgelte.</w:t>
      </w:r>
    </w:p>
    <w:p w:rsidR="0079064E" w:rsidRDefault="00CE1213" w:rsidP="00817985">
      <w:pPr>
        <w:numPr>
          <w:ilvl w:val="0"/>
          <w:numId w:val="34"/>
        </w:numPr>
      </w:pPr>
      <w:r w:rsidRPr="008E4B5A">
        <w:t>Eine Erhöhung und / oder Absenkung der Entgelte ist nur möglich, sofern eine Än</w:t>
      </w:r>
      <w:r w:rsidRPr="00E00D6F">
        <w:rPr>
          <w:rFonts w:cs="Arial"/>
        </w:rPr>
        <w:t>d</w:t>
      </w:r>
      <w:r w:rsidRPr="00E00D6F">
        <w:rPr>
          <w:rFonts w:cs="Arial"/>
        </w:rPr>
        <w:t>e</w:t>
      </w:r>
      <w:r w:rsidR="00444804" w:rsidRPr="00E00D6F">
        <w:rPr>
          <w:rFonts w:cs="Arial"/>
        </w:rPr>
        <w:t>rung vorgesehen oder erfor</w:t>
      </w:r>
      <w:r w:rsidRPr="008E4B5A">
        <w:t>derlich ist, um einschlägigen Gesetzen oder Rechtsveror</w:t>
      </w:r>
      <w:r w:rsidRPr="008E4B5A">
        <w:t>d</w:t>
      </w:r>
      <w:r w:rsidRPr="008E4B5A">
        <w:t>nungen, und / oder rechtsverbindlichen Vorgaben nationaler oder internationaler G</w:t>
      </w:r>
      <w:r w:rsidRPr="008E4B5A">
        <w:t>e</w:t>
      </w:r>
      <w:r w:rsidRPr="008E4B5A">
        <w:t xml:space="preserve">richte und Behörden, insbesondere </w:t>
      </w:r>
      <w:r w:rsidRPr="00AF0FE1">
        <w:t>Festlegungen und dazu ergangenen Mitteilungen</w:t>
      </w:r>
      <w:r w:rsidRPr="008E4B5A">
        <w:t xml:space="preserve"> der Bundesnetzagentur, und / oder allgemein anerkannten Regeln der Technik zu en</w:t>
      </w:r>
      <w:r w:rsidRPr="008E4B5A">
        <w:t>t</w:t>
      </w:r>
      <w:r w:rsidR="0004309E">
        <w:t>sprechen.</w:t>
      </w:r>
    </w:p>
    <w:p w:rsidR="00744FAF" w:rsidRDefault="00744FAF" w:rsidP="00744FAF">
      <w:pPr>
        <w:numPr>
          <w:ilvl w:val="0"/>
          <w:numId w:val="34"/>
        </w:numPr>
      </w:pPr>
      <w:r>
        <w:t xml:space="preserve">Entgelte können grundsätzlich nur mit Wirkung zum Monatsersten geändert werden. </w:t>
      </w:r>
      <w:r w:rsidR="00CE1213" w:rsidRPr="008E4B5A">
        <w:t xml:space="preserve">Der </w:t>
      </w:r>
      <w:r w:rsidR="00CE1213">
        <w:rPr>
          <w:rFonts w:cs="Arial"/>
        </w:rPr>
        <w:t>Marktgebietsverantwortliche</w:t>
      </w:r>
      <w:r w:rsidR="00CE1213" w:rsidRPr="008E4B5A">
        <w:t xml:space="preserve"> wird die Änderungen auf seiner Internetseite veröffen</w:t>
      </w:r>
      <w:r w:rsidR="00CE1213" w:rsidRPr="008E4B5A">
        <w:t>t</w:t>
      </w:r>
      <w:r w:rsidR="00CE1213" w:rsidRPr="008E4B5A">
        <w:t xml:space="preserve">lichen und den Bilanzkreisverantwortlichen über die geänderte Veröffentlichung </w:t>
      </w:r>
      <w:r>
        <w:t>grun</w:t>
      </w:r>
      <w:r>
        <w:t>d</w:t>
      </w:r>
      <w:r>
        <w:t xml:space="preserve">sätzlich </w:t>
      </w:r>
      <w:r w:rsidR="00CE1213" w:rsidRPr="008E4B5A">
        <w:t>mindestens 1</w:t>
      </w:r>
      <w:r w:rsidR="00931D2D">
        <w:t xml:space="preserve"> </w:t>
      </w:r>
      <w:r w:rsidR="00CE1213" w:rsidRPr="008E4B5A">
        <w:t xml:space="preserve">Monat vor deren </w:t>
      </w:r>
      <w:r w:rsidR="00CE1213" w:rsidRPr="00223FFC">
        <w:t xml:space="preserve">Inkrafttreten </w:t>
      </w:r>
      <w:r w:rsidR="00B31332">
        <w:t xml:space="preserve">zum nächsten Monatsersten </w:t>
      </w:r>
      <w:r w:rsidR="00CE1213" w:rsidRPr="00223FFC">
        <w:t>per E-Mail informieren</w:t>
      </w:r>
      <w:r w:rsidR="00CE1213" w:rsidRPr="00D27029">
        <w:t xml:space="preserve">. </w:t>
      </w:r>
      <w:r w:rsidR="005720BB" w:rsidRPr="00D27029">
        <w:t>Im Falle der Unterschreitung der vorgenannten Frist bei der Veröffen</w:t>
      </w:r>
      <w:r w:rsidR="005720BB" w:rsidRPr="00D27029">
        <w:t>t</w:t>
      </w:r>
      <w:r w:rsidR="005720BB" w:rsidRPr="00D27029">
        <w:t>lichung auf seiner Internetseite tritt die Wirksamkeit der Änderung erst mit Wirkung zum Monatsersten des jeweils folgenden Monats</w:t>
      </w:r>
      <w:r w:rsidR="009A72BF" w:rsidRPr="00D27029">
        <w:t xml:space="preserve"> ein</w:t>
      </w:r>
      <w:r w:rsidR="005720BB" w:rsidRPr="00D27029">
        <w:t>.</w:t>
      </w:r>
      <w:r w:rsidR="00F52759">
        <w:t xml:space="preserve"> </w:t>
      </w:r>
    </w:p>
    <w:p w:rsidR="00744FAF" w:rsidRDefault="00744FAF" w:rsidP="00744FAF">
      <w:pPr>
        <w:ind w:left="567"/>
        <w:rPr>
          <w:rFonts w:cs="Arial"/>
        </w:rPr>
      </w:pPr>
      <w:r>
        <w:rPr>
          <w:rFonts w:cs="Arial"/>
        </w:rPr>
        <w:t xml:space="preserve">Abweichend </w:t>
      </w:r>
      <w:r w:rsidRPr="001F2010">
        <w:rPr>
          <w:rFonts w:cs="Arial"/>
        </w:rPr>
        <w:t>von den vorstehenden Sätzen 1 bis 3 erfolgt im Falle einer Änderung des Konvertierungsentgelts mit Zustimmung</w:t>
      </w:r>
      <w:r w:rsidR="0004309E">
        <w:rPr>
          <w:rFonts w:cs="Arial"/>
        </w:rPr>
        <w:t xml:space="preserve"> der Bundesnetzagentur gemäß § </w:t>
      </w:r>
      <w:r w:rsidRPr="001F2010">
        <w:rPr>
          <w:rFonts w:cs="Arial"/>
        </w:rPr>
        <w:t>2</w:t>
      </w:r>
      <w:r w:rsidR="00D333C1">
        <w:rPr>
          <w:rFonts w:cs="Arial"/>
        </w:rPr>
        <w:t>3</w:t>
      </w:r>
      <w:r w:rsidRPr="001F2010">
        <w:rPr>
          <w:rFonts w:cs="Arial"/>
        </w:rPr>
        <w:t xml:space="preserve"> Ziffer 2 die Veröffentlichung nebst Information des Bilanzkreisverantwortlichen per E-Mail mit einer Frist von grundsätzlich mindestens 2 Wochen vor Inkrafttreten des geänderten Konve</w:t>
      </w:r>
      <w:r w:rsidRPr="001F2010">
        <w:rPr>
          <w:rFonts w:cs="Arial"/>
        </w:rPr>
        <w:t>r</w:t>
      </w:r>
      <w:r w:rsidRPr="001F2010">
        <w:rPr>
          <w:rFonts w:cs="Arial"/>
        </w:rPr>
        <w:t>tierungsentgeltes</w:t>
      </w:r>
      <w:r w:rsidR="008E6F57">
        <w:rPr>
          <w:rFonts w:cs="Arial"/>
        </w:rPr>
        <w:t>.</w:t>
      </w:r>
    </w:p>
    <w:p w:rsidR="00744FAF" w:rsidRDefault="00744FAF" w:rsidP="00744FAF">
      <w:pPr>
        <w:ind w:left="567"/>
      </w:pPr>
      <w:r>
        <w:rPr>
          <w:rFonts w:cs="Arial"/>
        </w:rPr>
        <w:t xml:space="preserve">In </w:t>
      </w:r>
      <w:r w:rsidRPr="001F2010">
        <w:rPr>
          <w:rFonts w:cs="Arial"/>
        </w:rPr>
        <w:t xml:space="preserve">eilbedürftigen Fällen einer Änderung des Konvertierungsentgelts mit Zustimmung der Bundesnetzagentur gemäß § </w:t>
      </w:r>
      <w:r w:rsidR="003375F7">
        <w:rPr>
          <w:rFonts w:cs="Arial"/>
        </w:rPr>
        <w:t>2</w:t>
      </w:r>
      <w:r w:rsidR="00D333C1">
        <w:rPr>
          <w:rFonts w:cs="Arial"/>
        </w:rPr>
        <w:t>3</w:t>
      </w:r>
      <w:r w:rsidRPr="001F2010">
        <w:rPr>
          <w:rFonts w:cs="Arial"/>
        </w:rPr>
        <w:t xml:space="preserve"> Ziffer 2 beträgt die Frist für die Veröffentlichung nebst Information des Bilanzkreisverantwortlichen per E-Mail mindestens 2 Tage vor I</w:t>
      </w:r>
      <w:r w:rsidRPr="001F2010">
        <w:rPr>
          <w:rFonts w:cs="Arial"/>
        </w:rPr>
        <w:t>n</w:t>
      </w:r>
      <w:r w:rsidRPr="001F2010">
        <w:rPr>
          <w:rFonts w:cs="Arial"/>
        </w:rPr>
        <w:t>krafttreten des geänderten Konvertierungsentgeltes. Ein eilbedürftiger Fall liegt insb</w:t>
      </w:r>
      <w:r w:rsidRPr="001F2010">
        <w:rPr>
          <w:rFonts w:cs="Arial"/>
        </w:rPr>
        <w:t>e</w:t>
      </w:r>
      <w:r w:rsidRPr="001F2010">
        <w:rPr>
          <w:rFonts w:cs="Arial"/>
        </w:rPr>
        <w:t>sondere dann vor, wenn innerhalb de</w:t>
      </w:r>
      <w:r>
        <w:rPr>
          <w:rFonts w:cs="Arial"/>
        </w:rPr>
        <w:t xml:space="preserve">s jeweiligen Geltungszeitraums </w:t>
      </w:r>
      <w:r w:rsidRPr="001F2010">
        <w:rPr>
          <w:rFonts w:cs="Arial"/>
        </w:rPr>
        <w:t>an mindestens vier aufeinanderfolgenden Gastagen L-Gas als externe Regelenergie vom Marktg</w:t>
      </w:r>
      <w:r w:rsidRPr="001F2010">
        <w:rPr>
          <w:rFonts w:cs="Arial"/>
        </w:rPr>
        <w:t>e</w:t>
      </w:r>
      <w:r w:rsidRPr="001F2010">
        <w:rPr>
          <w:rFonts w:cs="Arial"/>
        </w:rPr>
        <w:t>bietsverantwortlichen in einem Umfang beschafft und eingesetzt werden musste, der an jedem dieser Gastage mindestens 50 % der an dem jeweiligen Gastag insgesamt aus dem Marktgebiet physisch ausgespeisten L-Gasmenge entsprach.</w:t>
      </w:r>
    </w:p>
    <w:p w:rsidR="0079064E" w:rsidRDefault="003E77B2" w:rsidP="00817985">
      <w:pPr>
        <w:numPr>
          <w:ilvl w:val="0"/>
          <w:numId w:val="34"/>
        </w:numPr>
      </w:pPr>
      <w:r w:rsidRPr="00223FFC">
        <w:t>I</w:t>
      </w:r>
      <w:r w:rsidR="00CE1213" w:rsidRPr="00223FFC">
        <w:t>m Falle einer Änderung der Preise nach Ziffer 1 ist der Bilanzkreisverantwortliche b</w:t>
      </w:r>
      <w:r w:rsidR="00CE1213" w:rsidRPr="00223FFC">
        <w:t>e</w:t>
      </w:r>
      <w:r w:rsidR="00CE1213" w:rsidRPr="00223FFC">
        <w:t xml:space="preserve">rechtigt, den mit dem </w:t>
      </w:r>
      <w:r w:rsidR="00CE1213" w:rsidRPr="00223FFC">
        <w:rPr>
          <w:rFonts w:cs="Arial"/>
        </w:rPr>
        <w:t>Marktgebietsverantwortlichen</w:t>
      </w:r>
      <w:r w:rsidR="00CE1213" w:rsidRPr="00223FFC">
        <w:t xml:space="preserve"> abgeschlossenen</w:t>
      </w:r>
      <w:r w:rsidR="00CE1213" w:rsidRPr="008E4B5A">
        <w:t xml:space="preserve"> Vertrag bis zu 2</w:t>
      </w:r>
      <w:r w:rsidR="006E5C69">
        <w:t> </w:t>
      </w:r>
      <w:r w:rsidR="00CE1213" w:rsidRPr="008E4B5A">
        <w:t>Wochen auf den Zeitpunkt des Wirksamwerdens der Änderung schriftlich zu künd</w:t>
      </w:r>
      <w:r w:rsidR="00CE1213" w:rsidRPr="008E4B5A">
        <w:t>i</w:t>
      </w:r>
      <w:r w:rsidR="00CE1213" w:rsidRPr="008E4B5A">
        <w:t>gen.</w:t>
      </w:r>
    </w:p>
    <w:p w:rsidR="00CE1213" w:rsidRPr="008E4B5A" w:rsidRDefault="007D01FB" w:rsidP="007D01FB">
      <w:pPr>
        <w:pStyle w:val="berschrift1"/>
      </w:pPr>
      <w:bookmarkStart w:id="87" w:name="_Toc130898678"/>
      <w:bookmarkStart w:id="88" w:name="_Toc297207933"/>
      <w:bookmarkStart w:id="89" w:name="_Toc476824435"/>
      <w:r>
        <w:t>§ 3</w:t>
      </w:r>
      <w:r w:rsidR="00D333C1">
        <w:t>2</w:t>
      </w:r>
      <w:r>
        <w:t xml:space="preserve"> </w:t>
      </w:r>
      <w:r w:rsidR="00CE1213" w:rsidRPr="008E4B5A">
        <w:t>Rechnungsstellung und Zahlung</w:t>
      </w:r>
      <w:bookmarkEnd w:id="87"/>
      <w:bookmarkEnd w:id="88"/>
      <w:bookmarkEnd w:id="89"/>
    </w:p>
    <w:p w:rsidR="003D27DE" w:rsidRDefault="00CE1213" w:rsidP="00817985">
      <w:pPr>
        <w:numPr>
          <w:ilvl w:val="0"/>
          <w:numId w:val="85"/>
        </w:numPr>
      </w:pPr>
      <w:r w:rsidRPr="008E4B5A">
        <w:t>Rechnungsstellung und eventuelle Abschlagszahlungen ergeben sich aus den verö</w:t>
      </w:r>
      <w:r w:rsidRPr="008E4B5A">
        <w:t>f</w:t>
      </w:r>
      <w:r w:rsidRPr="008E4B5A">
        <w:t>fentlichten ergänzenden Geschäftsbedingungen des Marktgebietsverantwortlichen.</w:t>
      </w:r>
    </w:p>
    <w:p w:rsidR="003D27DE" w:rsidRDefault="0094614E" w:rsidP="00817985">
      <w:pPr>
        <w:numPr>
          <w:ilvl w:val="0"/>
          <w:numId w:val="85"/>
        </w:numPr>
      </w:pPr>
      <w:r>
        <w:t>Die ernsthafte Möglichkeit eines offensichtlichen Fehlers in der Rechnung berechtigt den Bilanzkreisverantwortlichen zum Zahlungsaufschub oder zur Zahlungsverweig</w:t>
      </w:r>
      <w:r>
        <w:t>e</w:t>
      </w:r>
      <w:r>
        <w:t xml:space="preserve">rung. </w:t>
      </w:r>
    </w:p>
    <w:p w:rsidR="003D27DE" w:rsidRDefault="0094614E" w:rsidP="00817985">
      <w:pPr>
        <w:numPr>
          <w:ilvl w:val="0"/>
          <w:numId w:val="85"/>
        </w:numPr>
      </w:pPr>
      <w:r>
        <w:t xml:space="preserve">Der Marktgebietsverantwortliche ist berechtigt, einen Verzugsschaden pauschal in Rechnung zu stellen. Es bleibt dem Bilanzkreisverantwortlichen unbenommen, einen tatsächlich geringeren Verzugsschaden nachzuweisen. </w:t>
      </w:r>
    </w:p>
    <w:p w:rsidR="003D27DE" w:rsidRDefault="00CE1213" w:rsidP="00817985">
      <w:pPr>
        <w:numPr>
          <w:ilvl w:val="0"/>
          <w:numId w:val="85"/>
        </w:numPr>
      </w:pPr>
      <w:r w:rsidRPr="008562BB">
        <w:t>Einwendungen gegen die Richtigkeit der Rechnung</w:t>
      </w:r>
      <w:r w:rsidR="00265BA6" w:rsidRPr="008562BB">
        <w:t xml:space="preserve"> </w:t>
      </w:r>
      <w:r w:rsidRPr="008562BB">
        <w:t xml:space="preserve">sind unverzüglich, in jedem Fall jedoch spätestens binnen </w:t>
      </w:r>
      <w:r w:rsidR="00A86C54" w:rsidRPr="008562BB">
        <w:t>4</w:t>
      </w:r>
      <w:r w:rsidRPr="008562BB">
        <w:t xml:space="preserve"> Wochen nach Rechnungserhalt vorzubringen. Einwendu</w:t>
      </w:r>
      <w:r w:rsidRPr="008562BB">
        <w:t>n</w:t>
      </w:r>
      <w:r w:rsidRPr="008562BB">
        <w:t>gen, die vom Bilanzkreisverantwortlichen ohne Verschulden nicht erkannt werden kö</w:t>
      </w:r>
      <w:r w:rsidRPr="008562BB">
        <w:t>n</w:t>
      </w:r>
      <w:r w:rsidRPr="008562BB">
        <w:t>nen, können auch nach Ablauf der oben genannten Frist unverzüglich vorgebracht we</w:t>
      </w:r>
      <w:r w:rsidRPr="008562BB">
        <w:t>r</w:t>
      </w:r>
      <w:r w:rsidRPr="008562BB">
        <w:t xml:space="preserve">den, nachdem die einwendende Partei Kenntnis von dem Einwendungsgrund erlangt hat oder spätestens </w:t>
      </w:r>
      <w:r w:rsidR="005B5116" w:rsidRPr="008562BB">
        <w:t>nach 3 Jahren ab Zugang der zu korrigierenden Rechnung</w:t>
      </w:r>
      <w:r w:rsidRPr="008562BB">
        <w:t xml:space="preserve">. </w:t>
      </w:r>
    </w:p>
    <w:p w:rsidR="003D27DE" w:rsidRDefault="009C33F5" w:rsidP="00817985">
      <w:pPr>
        <w:numPr>
          <w:ilvl w:val="0"/>
          <w:numId w:val="85"/>
        </w:numPr>
      </w:pPr>
      <w:r w:rsidRPr="008562BB">
        <w:t xml:space="preserve">In </w:t>
      </w:r>
      <w:r w:rsidR="00961940" w:rsidRPr="008562BB">
        <w:t xml:space="preserve">den Fällen von </w:t>
      </w:r>
      <w:r w:rsidR="00961940" w:rsidRPr="00F26563">
        <w:t xml:space="preserve">§ </w:t>
      </w:r>
      <w:r w:rsidR="0097421A">
        <w:t>13</w:t>
      </w:r>
      <w:r w:rsidR="00961940" w:rsidRPr="00F26563">
        <w:t xml:space="preserve"> Ziffer </w:t>
      </w:r>
      <w:r w:rsidR="0097421A">
        <w:t>2</w:t>
      </w:r>
      <w:r w:rsidR="00961940" w:rsidRPr="00F26563">
        <w:t xml:space="preserve"> und </w:t>
      </w:r>
      <w:r w:rsidR="0097421A">
        <w:t>3</w:t>
      </w:r>
      <w:r w:rsidR="00961940" w:rsidRPr="00F26563">
        <w:t xml:space="preserve"> wird </w:t>
      </w:r>
      <w:r w:rsidR="00961940" w:rsidRPr="008562BB">
        <w:t xml:space="preserve">die Bilanzkreisabrechnung </w:t>
      </w:r>
      <w:r w:rsidR="00854E8E">
        <w:t>storniert und eine neue Bilanzkreisabrechnung unter Berücksichtigung der geänderten Daten erstellt.</w:t>
      </w:r>
    </w:p>
    <w:p w:rsidR="00CE1213" w:rsidRPr="003C20B5" w:rsidRDefault="00CE05F9" w:rsidP="001D6916">
      <w:pPr>
        <w:pStyle w:val="berschrift1"/>
      </w:pPr>
      <w:bookmarkStart w:id="90" w:name="_Toc297207937"/>
      <w:bookmarkStart w:id="91" w:name="_Toc130898691"/>
      <w:bookmarkStart w:id="92" w:name="_Toc476824436"/>
      <w:r>
        <w:t>§ 3</w:t>
      </w:r>
      <w:r w:rsidR="00D333C1">
        <w:t>3</w:t>
      </w:r>
      <w:r w:rsidR="001D6916">
        <w:t xml:space="preserve"> </w:t>
      </w:r>
      <w:r w:rsidR="00CE1213" w:rsidRPr="00C46A92">
        <w:t>Steuern</w:t>
      </w:r>
      <w:bookmarkEnd w:id="90"/>
      <w:bookmarkEnd w:id="92"/>
    </w:p>
    <w:p w:rsidR="003D27DE" w:rsidRDefault="00CE1213" w:rsidP="00817985">
      <w:pPr>
        <w:numPr>
          <w:ilvl w:val="0"/>
          <w:numId w:val="36"/>
        </w:numPr>
      </w:pPr>
      <w:r w:rsidRPr="008E4B5A">
        <w:t>Werden im Rahmen des jeweiligen Vertrages vom</w:t>
      </w:r>
      <w:r>
        <w:t xml:space="preserve"> Marktgebietsverantwortlichen</w:t>
      </w:r>
      <w:r w:rsidRPr="008E4B5A">
        <w:t xml:space="preserve"> an einen Bilanzkreisverantwortlichen, der nicht Lieferer im Sinne des § 38 Abs. 3 </w:t>
      </w:r>
      <w:r w:rsidR="006E5C69">
        <w:t>Energi</w:t>
      </w:r>
      <w:r w:rsidR="006E5C69">
        <w:t>e</w:t>
      </w:r>
      <w:r w:rsidR="006E5C69">
        <w:t>steuergesetz (</w:t>
      </w:r>
      <w:r w:rsidRPr="008E4B5A">
        <w:t>EnergieStG</w:t>
      </w:r>
      <w:r w:rsidR="006E5C69">
        <w:t>)</w:t>
      </w:r>
      <w:r w:rsidRPr="008E4B5A">
        <w:t xml:space="preserve"> ist, Gasmengen geliefert, hat der Bilanzkreisverantwortliche die darauf entfallenden Entgelte zuzüglich Energiesteuer in der jeweiligen gesetzlichen Höhe zu zahlen.</w:t>
      </w:r>
    </w:p>
    <w:p w:rsidR="00CE1213" w:rsidRPr="008E4B5A" w:rsidRDefault="00CE1213" w:rsidP="00C27E03">
      <w:pPr>
        <w:pStyle w:val="GL2OhneZiffer"/>
      </w:pPr>
      <w:r w:rsidRPr="008E4B5A">
        <w:t xml:space="preserve">Erfolgt die Lieferung von Gasmengen an einen Bilanzkreisverantwortlichen, der </w:t>
      </w:r>
      <w:r w:rsidR="009943BA">
        <w:t>ang</w:t>
      </w:r>
      <w:r w:rsidR="009943BA">
        <w:t>e</w:t>
      </w:r>
      <w:r w:rsidR="009943BA">
        <w:t xml:space="preserve">meldeter </w:t>
      </w:r>
      <w:r w:rsidRPr="008E4B5A">
        <w:t>Lieferer im Sinne des § 38 Abs. 3 EnergieStG ist, ist der Bilanzkreisveran</w:t>
      </w:r>
      <w:r w:rsidRPr="008E4B5A">
        <w:t>t</w:t>
      </w:r>
      <w:r w:rsidRPr="008E4B5A">
        <w:t>wortliche verpflichtet, das Vorliegen der Voraussetzungen des § 38 Abs. 3 EnergieStG dem M</w:t>
      </w:r>
      <w:r>
        <w:t>arktgebietsverantwortlichen</w:t>
      </w:r>
      <w:r w:rsidRPr="008E4B5A">
        <w:t xml:space="preserve"> gegenüber durch Vorlage einer von der zuständigen Zollverwaltung ausgestellten aktuellen Anmeldebestätigung im Sinne von § 78 Abs. 4 </w:t>
      </w:r>
      <w:r w:rsidR="006E5C69">
        <w:t>Energiesteuer - Durchführungsverordnung (</w:t>
      </w:r>
      <w:r w:rsidRPr="008E4B5A">
        <w:t>EnergieStV</w:t>
      </w:r>
      <w:r w:rsidR="006E5C69">
        <w:t>)</w:t>
      </w:r>
      <w:r w:rsidRPr="008E4B5A">
        <w:t>, nach der der Bilanzkreisv</w:t>
      </w:r>
      <w:r w:rsidRPr="008E4B5A">
        <w:t>e</w:t>
      </w:r>
      <w:r w:rsidRPr="008E4B5A">
        <w:t xml:space="preserve">rantwortliche </w:t>
      </w:r>
      <w:r w:rsidR="00FD3DE6">
        <w:t xml:space="preserve">als angemeldeter Lieferer </w:t>
      </w:r>
      <w:r w:rsidRPr="008E4B5A">
        <w:t>zum unversteuerten Bezug von Gasmengen b</w:t>
      </w:r>
      <w:r w:rsidRPr="008E4B5A">
        <w:t>e</w:t>
      </w:r>
      <w:r w:rsidRPr="008E4B5A">
        <w:t xml:space="preserve">rechtigt ist, </w:t>
      </w:r>
      <w:r w:rsidR="00FD3DE6">
        <w:t>nachzuweisen</w:t>
      </w:r>
      <w:r w:rsidRPr="008E4B5A">
        <w:t xml:space="preserve">. Der Nachweis über das Vorliegen der Voraussetzungen des § 38 Abs. 3 EnergieStG ist dem </w:t>
      </w:r>
      <w:r>
        <w:t>Marktgebietsverantwortlichen</w:t>
      </w:r>
      <w:r w:rsidRPr="008E4B5A">
        <w:t xml:space="preserve"> spätestens </w:t>
      </w:r>
      <w:r w:rsidR="007A7DE2">
        <w:t>1</w:t>
      </w:r>
      <w:r w:rsidR="007A7DE2" w:rsidRPr="008E4B5A">
        <w:t xml:space="preserve"> </w:t>
      </w:r>
      <w:r w:rsidRPr="008E4B5A">
        <w:t>Woche vor der Lieferung zur Verfügung zu stellen. Wird ein geeigneter Nachweis über das Vorli</w:t>
      </w:r>
      <w:r w:rsidRPr="008E4B5A">
        <w:t>e</w:t>
      </w:r>
      <w:r w:rsidRPr="008E4B5A">
        <w:t>gen der Voraussetzungen des § 38 Abs. 3 EnergieStG nicht innerhalb des vorgeschri</w:t>
      </w:r>
      <w:r w:rsidRPr="008E4B5A">
        <w:t>e</w:t>
      </w:r>
      <w:r w:rsidRPr="008E4B5A">
        <w:t xml:space="preserve">benen Zeitraums vorgelegt, hat der </w:t>
      </w:r>
      <w:r>
        <w:t>Marktgebietsverantwortliche</w:t>
      </w:r>
      <w:r w:rsidRPr="008E4B5A">
        <w:t xml:space="preserve"> das Recht, dem B</w:t>
      </w:r>
      <w:r w:rsidRPr="008E4B5A">
        <w:t>i</w:t>
      </w:r>
      <w:r w:rsidRPr="008E4B5A">
        <w:t>lanzkreisverantwortlichen die auf die Lieferung der Gasmengen entfallenden Entgelte zuzüglich Energiesteuer in der jeweiligen gesetzlichen Höhe in Rechnung zu stellen.</w:t>
      </w:r>
    </w:p>
    <w:p w:rsidR="00CE1213" w:rsidRPr="008E4B5A" w:rsidRDefault="00CE1213" w:rsidP="00C27E03">
      <w:pPr>
        <w:pStyle w:val="GL2OhneZiffer"/>
      </w:pPr>
      <w:r w:rsidRPr="008E4B5A">
        <w:t>Der Bilanzkreisverantwortliche ist verpflichtet, den M</w:t>
      </w:r>
      <w:r>
        <w:t>arktgebietsverantwortlichen</w:t>
      </w:r>
      <w:r w:rsidRPr="008E4B5A">
        <w:t xml:space="preserve"> umg</w:t>
      </w:r>
      <w:r w:rsidRPr="008E4B5A">
        <w:t>e</w:t>
      </w:r>
      <w:r w:rsidRPr="008E4B5A">
        <w:t xml:space="preserve">hend schriftlich zu informieren, wenn der Bilanzkreisverantwortliche nicht bzw. nicht mehr Lieferer im Sinne des § 38 Abs. 3 EnergieStG ist. </w:t>
      </w:r>
      <w:r w:rsidR="00FD3DE6">
        <w:t>Bei Adressänderungen, Umfi</w:t>
      </w:r>
      <w:r w:rsidR="00FD3DE6">
        <w:t>r</w:t>
      </w:r>
      <w:r w:rsidR="00FD3DE6">
        <w:t xml:space="preserve">mierungen, Änderungen der Rechtsform ist die Vorlage einer aktuellen Liefererbestätigung der Zollverwaltung erforderlich. </w:t>
      </w:r>
      <w:r w:rsidRPr="008E4B5A">
        <w:t>Kommt der Bilanzkreisverantwortl</w:t>
      </w:r>
      <w:r w:rsidRPr="008E4B5A">
        <w:t>i</w:t>
      </w:r>
      <w:r w:rsidRPr="008E4B5A">
        <w:t xml:space="preserve">che dieser Hinweispflicht nicht oder nicht rechtzeitig nach, ist er verpflichtet, die daraus für den </w:t>
      </w:r>
      <w:r>
        <w:t>Marktgebietsverantwortlichen</w:t>
      </w:r>
      <w:r w:rsidRPr="008E4B5A">
        <w:t xml:space="preserve"> entstehende Energiesteuer an diesen zu ersta</w:t>
      </w:r>
      <w:r w:rsidRPr="008E4B5A">
        <w:t>t</w:t>
      </w:r>
      <w:r w:rsidRPr="008E4B5A">
        <w:t>ten.</w:t>
      </w:r>
    </w:p>
    <w:p w:rsidR="003D27DE" w:rsidRDefault="00CE1213" w:rsidP="00817985">
      <w:pPr>
        <w:numPr>
          <w:ilvl w:val="0"/>
          <w:numId w:val="36"/>
        </w:numPr>
      </w:pPr>
      <w:r w:rsidRPr="008E4B5A">
        <w:t>Sollten Steuern oder andere öffentlich-rechtliche Abgaben auf die Entgelte gemäß dem jeweiligen Vertrag, einschließlich von Steuern oder anderen öffentlich-rechtlichen A</w:t>
      </w:r>
      <w:r w:rsidRPr="008E4B5A">
        <w:t>b</w:t>
      </w:r>
      <w:r w:rsidRPr="008E4B5A">
        <w:t>gaben auf Dienstleistungen, die die Grundlage für diese Entgelte bilden, eingeführt, a</w:t>
      </w:r>
      <w:r w:rsidRPr="008E4B5A">
        <w:t>b</w:t>
      </w:r>
      <w:r w:rsidRPr="008E4B5A">
        <w:t>geschafft oder geändert werden, nimmt der M</w:t>
      </w:r>
      <w:r>
        <w:t>arktgebietsverantwortliche</w:t>
      </w:r>
      <w:r w:rsidRPr="008E4B5A">
        <w:t xml:space="preserve"> eine demen</w:t>
      </w:r>
      <w:r w:rsidRPr="008E4B5A">
        <w:t>t</w:t>
      </w:r>
      <w:r w:rsidRPr="008E4B5A">
        <w:t>sprechende Anhebung oder Absenkung der Entgelte in dem jeweiligen Vertrag mit Wi</w:t>
      </w:r>
      <w:r w:rsidRPr="008E4B5A">
        <w:t>r</w:t>
      </w:r>
      <w:r w:rsidRPr="008E4B5A">
        <w:t>kung zu dem Zeitpunkt vor, an welchem die Einführung, Abschaffung oder Änderung der Steuern oder anderen öffentlich-rechtlichen Abgaben in Kraft tritt. Dies gilt entspr</w:t>
      </w:r>
      <w:r w:rsidRPr="008E4B5A">
        <w:t>e</w:t>
      </w:r>
      <w:r w:rsidRPr="008E4B5A">
        <w:t>chend bei der Einführung oder Abschaffung oder Änderung anderer Entgelte durch oder aufgrund nationaler oder europäischer Rechtsvorschriften, Verwaltungsakte oder anderer Anordnungen von Behörden.</w:t>
      </w:r>
    </w:p>
    <w:p w:rsidR="003D27DE" w:rsidRDefault="00CE1213" w:rsidP="00817985">
      <w:pPr>
        <w:numPr>
          <w:ilvl w:val="0"/>
          <w:numId w:val="36"/>
        </w:numPr>
      </w:pPr>
      <w:r w:rsidRPr="008E4B5A">
        <w:t>Sämtliche Entgelte entsprechend des jeweiligen Vertrages sind ohne darauf entfallende Steuern aufgeführt. Der Bilanzkreisverantwortliche hat diese Steuern zusätzlich zu di</w:t>
      </w:r>
      <w:r w:rsidRPr="008E4B5A">
        <w:t>e</w:t>
      </w:r>
      <w:r w:rsidRPr="008E4B5A">
        <w:t>sen Entgelten zu entrichten.</w:t>
      </w:r>
    </w:p>
    <w:p w:rsidR="003D27DE" w:rsidRDefault="00CE1213" w:rsidP="00817985">
      <w:pPr>
        <w:numPr>
          <w:ilvl w:val="0"/>
          <w:numId w:val="36"/>
        </w:numPr>
      </w:pPr>
      <w:r w:rsidRPr="008E4B5A">
        <w:t xml:space="preserve">Die Entgelte gemäß dem jeweiligen Vertrag und diesem </w:t>
      </w:r>
      <w:r w:rsidR="00C24588">
        <w:t>Paragraphen</w:t>
      </w:r>
      <w:r w:rsidRPr="008E4B5A">
        <w:t xml:space="preserve"> sowie jegliche Zuschläge hierzu bilden das Entgelt im Sinne des Umsatzsteuergesetzes </w:t>
      </w:r>
      <w:r w:rsidR="008562BB">
        <w:t xml:space="preserve">(UStG) </w:t>
      </w:r>
      <w:r w:rsidRPr="008E4B5A">
        <w:t>und verstehen sich ohne Umsatzsteuer (USt). Zusätzlich zu diesem Entgelt hat der Bilan</w:t>
      </w:r>
      <w:r w:rsidRPr="008E4B5A">
        <w:t>z</w:t>
      </w:r>
      <w:r w:rsidRPr="008E4B5A">
        <w:t>kreisverantwortliche an den M</w:t>
      </w:r>
      <w:r>
        <w:t>arktgebietsverantwortlichen</w:t>
      </w:r>
      <w:r w:rsidRPr="008E4B5A">
        <w:t xml:space="preserve"> die Umsatzsteuer in der j</w:t>
      </w:r>
      <w:r w:rsidRPr="008E4B5A">
        <w:t>e</w:t>
      </w:r>
      <w:r w:rsidRPr="008E4B5A">
        <w:t>weiligen gesetzlichen Höhe zu entrichten</w:t>
      </w:r>
      <w:r w:rsidR="009C33F5" w:rsidRPr="00F608A8">
        <w:t>, sofern nicht das Reverse-Charge-Verfahren Anwendung findet. Soweit der Leistungsempfänger die Voraussetzungen des § 3g A</w:t>
      </w:r>
      <w:r w:rsidR="009C33F5" w:rsidRPr="00F608A8">
        <w:t>b</w:t>
      </w:r>
      <w:r w:rsidR="009C33F5" w:rsidRPr="00F608A8">
        <w:t>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w:t>
      </w:r>
      <w:r w:rsidR="00C54031">
        <w:t xml:space="preserve"> </w:t>
      </w:r>
      <w:r w:rsidR="009C33F5" w:rsidRPr="00F608A8">
        <w:t xml:space="preserve">unaufgefordert </w:t>
      </w:r>
      <w:r w:rsidR="00483F29">
        <w:t>dem jeweils anderen Vertrag</w:t>
      </w:r>
      <w:r w:rsidR="00483F29">
        <w:t>s</w:t>
      </w:r>
      <w:r w:rsidR="00483F29">
        <w:t>partner</w:t>
      </w:r>
      <w:r w:rsidR="00483F29" w:rsidDel="00483F29">
        <w:t xml:space="preserve"> </w:t>
      </w:r>
      <w:r w:rsidR="009C33F5" w:rsidRPr="00F608A8">
        <w:t>vor. Erfolgt die Abrechnung gemäß § 14 Abs. 2 S. 2 UStG im Gutschriftsverfahren, muss die Abrechnung die Angabe "Gutschrift" enthalten (§ 14 Abs. 4 Nr. 10 UStG)</w:t>
      </w:r>
      <w:r w:rsidRPr="008E4B5A">
        <w:t>.</w:t>
      </w:r>
    </w:p>
    <w:p w:rsidR="00CE1213" w:rsidRPr="008E4B5A" w:rsidRDefault="00CE05F9" w:rsidP="001D6916">
      <w:pPr>
        <w:pStyle w:val="berschrift1"/>
      </w:pPr>
      <w:bookmarkStart w:id="93" w:name="_Toc297207938"/>
      <w:bookmarkStart w:id="94" w:name="_Toc476824437"/>
      <w:r>
        <w:t xml:space="preserve">§ </w:t>
      </w:r>
      <w:r w:rsidR="00C842E5">
        <w:t>3</w:t>
      </w:r>
      <w:r w:rsidR="00D333C1">
        <w:t>4</w:t>
      </w:r>
      <w:r w:rsidR="001D6916">
        <w:t xml:space="preserve"> </w:t>
      </w:r>
      <w:r w:rsidR="00CE1213" w:rsidRPr="008E4B5A">
        <w:t>Höhere Gewalt</w:t>
      </w:r>
      <w:bookmarkEnd w:id="93"/>
      <w:bookmarkEnd w:id="94"/>
    </w:p>
    <w:p w:rsidR="003D27DE" w:rsidRDefault="00CE1213" w:rsidP="00817985">
      <w:pPr>
        <w:numPr>
          <w:ilvl w:val="0"/>
          <w:numId w:val="37"/>
        </w:numPr>
      </w:pPr>
      <w:r w:rsidRPr="008E4B5A">
        <w:t xml:space="preserve">Soweit ein Vertragspartner in Folge Höherer Gewalt </w:t>
      </w:r>
      <w:r w:rsidRPr="00223FFC">
        <w:t>gemäß Ziffer 2 an der</w:t>
      </w:r>
      <w:r w:rsidRPr="008E4B5A">
        <w:t xml:space="preserve"> Erfüllung seiner Pflichten gehindert ist, wird er von diesen Pflichten befreit. Der andere Vertrag</w:t>
      </w:r>
      <w:r w:rsidRPr="008E4B5A">
        <w:t>s</w:t>
      </w:r>
      <w:r w:rsidRPr="008E4B5A">
        <w:t>partner wird soweit und solange von seinen Gegenleistungspflichten befreit, wie der Vertragspartner aufgrund von Höherer Gewalt an der Erfüllung seiner Pflichten gehi</w:t>
      </w:r>
      <w:r w:rsidRPr="008E4B5A">
        <w:t>n</w:t>
      </w:r>
      <w:r w:rsidRPr="008E4B5A">
        <w:t xml:space="preserve">dert ist. </w:t>
      </w:r>
    </w:p>
    <w:p w:rsidR="003D27DE" w:rsidRDefault="00CE1213" w:rsidP="00817985">
      <w:pPr>
        <w:numPr>
          <w:ilvl w:val="0"/>
          <w:numId w:val="37"/>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w:t>
      </w:r>
      <w:r w:rsidRPr="008E4B5A">
        <w:t>s</w:t>
      </w:r>
      <w:r w:rsidRPr="008E4B5A">
        <w:t>sperrung rechtmäßig ist, oder gesetzliche Bestimmung</w:t>
      </w:r>
      <w:r w:rsidR="007918FC">
        <w:t>en</w:t>
      </w:r>
      <w:r w:rsidRPr="008E4B5A">
        <w:t xml:space="preserve"> oder Maßnahmen der Regi</w:t>
      </w:r>
      <w:r w:rsidRPr="008E4B5A">
        <w:t>e</w:t>
      </w:r>
      <w:r w:rsidRPr="008E4B5A">
        <w:t>rung oder von Gerichten oder Behörden (unabhängig von ihrer Rechtmäßigkeit).</w:t>
      </w:r>
    </w:p>
    <w:p w:rsidR="003D27DE" w:rsidRDefault="00CE1213" w:rsidP="00817985">
      <w:pPr>
        <w:numPr>
          <w:ilvl w:val="0"/>
          <w:numId w:val="37"/>
        </w:numPr>
      </w:pPr>
      <w:r w:rsidRPr="008E4B5A">
        <w:t>Der betroffene Vertragspartner hat den anderen Vertragspartner unverzüglich zu b</w:t>
      </w:r>
      <w:r w:rsidRPr="008E4B5A">
        <w:t>e</w:t>
      </w:r>
      <w:r w:rsidRPr="008E4B5A">
        <w:t xml:space="preserve">nachrichtigen und über die Gründe der Höheren Gewalt und die voraussichtliche Dauer zu informieren. Er wird sich bemühen, mit allen technisch möglichen und wirtschaftlich </w:t>
      </w:r>
      <w:r w:rsidR="001B5394">
        <w:t>zumutbaren</w:t>
      </w:r>
      <w:r w:rsidR="001B5394" w:rsidRPr="008E4B5A">
        <w:t xml:space="preserve"> </w:t>
      </w:r>
      <w:r w:rsidRPr="008E4B5A">
        <w:t>Mitteln dafür zu sorgen, dass er seine Pflichten schnellstmöglich wieder e</w:t>
      </w:r>
      <w:r w:rsidRPr="008E4B5A">
        <w:t>r</w:t>
      </w:r>
      <w:r w:rsidRPr="008E4B5A">
        <w:t xml:space="preserve">füllen kann. </w:t>
      </w:r>
    </w:p>
    <w:p w:rsidR="003D27DE" w:rsidRDefault="001E7884" w:rsidP="00817985">
      <w:pPr>
        <w:numPr>
          <w:ilvl w:val="0"/>
          <w:numId w:val="37"/>
        </w:numPr>
        <w:rPr>
          <w:szCs w:val="22"/>
        </w:rPr>
      </w:pPr>
      <w:r w:rsidRPr="008E4B5A">
        <w:rPr>
          <w:szCs w:val="22"/>
        </w:rPr>
        <w:t xml:space="preserve">Nutzt ein </w:t>
      </w:r>
      <w:r w:rsidRPr="00223FFC">
        <w:rPr>
          <w:szCs w:val="22"/>
        </w:rPr>
        <w:t>Vertragspartner Dienstleistungen Dritter zur Erfüllung seiner vertraglichen Verpflichtungen, so gilt ein Ereignis, das für den Dritten höhere Gewalt oder einen so</w:t>
      </w:r>
      <w:r w:rsidRPr="00223FFC">
        <w:rPr>
          <w:szCs w:val="22"/>
        </w:rPr>
        <w:t>n</w:t>
      </w:r>
      <w:r w:rsidRPr="00223FFC">
        <w:rPr>
          <w:szCs w:val="22"/>
        </w:rPr>
        <w:t>stigen Umstand i.S.d. Ziffer 2 darstellen würde, auch zugunsten dieses Vertragspar</w:t>
      </w:r>
      <w:r w:rsidRPr="00223FFC">
        <w:rPr>
          <w:szCs w:val="22"/>
        </w:rPr>
        <w:t>t</w:t>
      </w:r>
      <w:r w:rsidRPr="00223FFC">
        <w:rPr>
          <w:szCs w:val="22"/>
        </w:rPr>
        <w:t>ners als höhere Gewalt.</w:t>
      </w:r>
    </w:p>
    <w:p w:rsidR="00CE1213" w:rsidRPr="008E4B5A" w:rsidRDefault="00CE05F9" w:rsidP="001D6916">
      <w:pPr>
        <w:pStyle w:val="berschrift1"/>
      </w:pPr>
      <w:bookmarkStart w:id="95" w:name="_Toc297207939"/>
      <w:bookmarkStart w:id="96" w:name="_Toc476824438"/>
      <w:r>
        <w:t xml:space="preserve">§ </w:t>
      </w:r>
      <w:r w:rsidR="00C842E5">
        <w:t>3</w:t>
      </w:r>
      <w:r w:rsidR="00D333C1">
        <w:t>5</w:t>
      </w:r>
      <w:r w:rsidR="001D6916">
        <w:t xml:space="preserve"> </w:t>
      </w:r>
      <w:r w:rsidR="00CE1213" w:rsidRPr="008E4B5A">
        <w:t>Haftung</w:t>
      </w:r>
      <w:bookmarkEnd w:id="95"/>
      <w:bookmarkEnd w:id="96"/>
    </w:p>
    <w:p w:rsidR="00626F33" w:rsidRDefault="00626F33" w:rsidP="00817985">
      <w:pPr>
        <w:numPr>
          <w:ilvl w:val="0"/>
          <w:numId w:val="63"/>
        </w:numPr>
      </w:pPr>
      <w:r>
        <w:t>D</w:t>
      </w:r>
      <w:r w:rsidRPr="004867AC">
        <w:t xml:space="preserve">ie Vertragspartner </w:t>
      </w:r>
      <w:r>
        <w:t xml:space="preserve">haften </w:t>
      </w:r>
      <w:r w:rsidRPr="004867AC">
        <w:t>einander für Schäden aus der Verletzung des Lebens, des Körpers oder der Gesundheit, es sei denn, der Vertragspartner selbst, dessen gesetzl</w:t>
      </w:r>
      <w:r w:rsidRPr="004867AC">
        <w:t>i</w:t>
      </w:r>
      <w:r w:rsidRPr="004867AC">
        <w:t>che Vertreter, Erfüllungs- oder Verrichtungsgehilfen haben weder vorsätzlich noch fah</w:t>
      </w:r>
      <w:r w:rsidRPr="004867AC">
        <w:t>r</w:t>
      </w:r>
      <w:r w:rsidRPr="004867AC">
        <w:t xml:space="preserve">lässig gehandelt. </w:t>
      </w:r>
    </w:p>
    <w:p w:rsidR="003D27DE" w:rsidRDefault="00606833" w:rsidP="00817985">
      <w:pPr>
        <w:numPr>
          <w:ilvl w:val="0"/>
          <w:numId w:val="63"/>
        </w:numPr>
      </w:pPr>
      <w:r w:rsidRPr="004867AC">
        <w:t>Im Fall der Verletzung wesentlicher Vertragspflichten haften die Vertragspartner eina</w:t>
      </w:r>
      <w:r w:rsidRPr="004867AC">
        <w:t>n</w:t>
      </w:r>
      <w:r w:rsidRPr="004867AC">
        <w:t xml:space="preserve">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w:t>
      </w:r>
      <w:r w:rsidRPr="006A51B7">
        <w:t>r</w:t>
      </w:r>
      <w:r w:rsidRPr="006A51B7">
        <w:t>ursachter Sach- und Vermögensschäden</w:t>
      </w:r>
      <w:r w:rsidRPr="004867AC">
        <w:rPr>
          <w:i/>
        </w:rPr>
        <w:t xml:space="preserve"> </w:t>
      </w:r>
      <w:r w:rsidRPr="004867AC">
        <w:t xml:space="preserve">ist auf den vertragstypisch, vorhersehbaren Schaden begrenzt. </w:t>
      </w:r>
    </w:p>
    <w:p w:rsidR="003D27DE" w:rsidRDefault="00606833" w:rsidP="00817985">
      <w:pPr>
        <w:numPr>
          <w:ilvl w:val="0"/>
          <w:numId w:val="64"/>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3D27DE" w:rsidRDefault="00606833" w:rsidP="00817985">
      <w:pPr>
        <w:numPr>
          <w:ilvl w:val="0"/>
          <w:numId w:val="64"/>
        </w:numPr>
      </w:pPr>
      <w: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w:t>
      </w:r>
      <w:r>
        <w:t>s</w:t>
      </w:r>
      <w:r>
        <w:t>sen.</w:t>
      </w:r>
    </w:p>
    <w:p w:rsidR="003D27DE" w:rsidRDefault="00606833" w:rsidP="00817985">
      <w:pPr>
        <w:numPr>
          <w:ilvl w:val="0"/>
          <w:numId w:val="64"/>
        </w:numPr>
      </w:pPr>
      <w:r w:rsidRPr="004867AC">
        <w:t>Typischerweise ist bei Geschäften der fraglichen Art von einem Schaden in Höhe von EUR 2,5 Mio. bei Sachschäden und EUR 1,0 Mio. bei Vermögensschäden au</w:t>
      </w:r>
      <w:r w:rsidRPr="004867AC">
        <w:t>s</w:t>
      </w:r>
      <w:r w:rsidRPr="004867AC">
        <w:t xml:space="preserve">zugehen. </w:t>
      </w:r>
    </w:p>
    <w:p w:rsidR="003D27DE" w:rsidRDefault="005959C2" w:rsidP="00817985">
      <w:pPr>
        <w:numPr>
          <w:ilvl w:val="0"/>
          <w:numId w:val="63"/>
        </w:numPr>
      </w:pPr>
      <w:r w:rsidRPr="004867AC">
        <w:t>Die Vertragspartner haften einander für Sach- und Vermögensschäden bei nicht w</w:t>
      </w:r>
      <w:r w:rsidRPr="004867AC">
        <w:t>e</w:t>
      </w:r>
      <w:r w:rsidRPr="004867AC">
        <w:t>sentlichen Vertragspflichten, es sei denn, der Vertragspartner selbst, dessen gesetzl</w:t>
      </w:r>
      <w:r w:rsidRPr="004867AC">
        <w:t>i</w:t>
      </w:r>
      <w:r w:rsidRPr="004867AC">
        <w:t xml:space="preserve">che Vertreter, Erfüllungs- oder Verrichtungsgehilfen haben weder vorsätzlich noch grob fahrlässig gehandelt. </w:t>
      </w:r>
    </w:p>
    <w:p w:rsidR="005959C2" w:rsidRDefault="005959C2" w:rsidP="00817985">
      <w:pPr>
        <w:numPr>
          <w:ilvl w:val="0"/>
          <w:numId w:val="65"/>
        </w:numPr>
      </w:pPr>
      <w:r w:rsidRPr="004867AC">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rsidR="005959C2" w:rsidRDefault="005959C2" w:rsidP="00817985">
      <w:pPr>
        <w:numPr>
          <w:ilvl w:val="0"/>
          <w:numId w:val="65"/>
        </w:numPr>
      </w:pPr>
      <w:r w:rsidRPr="004867AC">
        <w:t>Die Haftung der Vertragspartner für sog. einfache Erfüllungsgehilfen ist im Fall grob fahrlässig verursachter Sachschäden auf EUR 1,5 Mio. und Vermögensschäden auf EUR 0,5 Mio. begrenzt.</w:t>
      </w:r>
    </w:p>
    <w:p w:rsidR="005959C2" w:rsidRPr="008E4B5A" w:rsidRDefault="005959C2" w:rsidP="00817985">
      <w:pPr>
        <w:numPr>
          <w:ilvl w:val="0"/>
          <w:numId w:val="63"/>
        </w:numPr>
      </w:pPr>
      <w:r>
        <w:t>§§ 16, 16 a EnWG bleiben unberührt.</w:t>
      </w:r>
      <w:r w:rsidRPr="008E4B5A">
        <w:t xml:space="preserve"> Maßnahmen nach §</w:t>
      </w:r>
      <w:r>
        <w:t>§</w:t>
      </w:r>
      <w:r w:rsidRPr="008E4B5A">
        <w:t xml:space="preserve"> 16 Abs. 2 </w:t>
      </w:r>
      <w:r>
        <w:t xml:space="preserve">und 16 a </w:t>
      </w:r>
      <w:r w:rsidRPr="008E4B5A">
        <w:t>EnWG sind insbesondere auch solche, die zur Sicherstellung der Versorgung von Haushalt</w:t>
      </w:r>
      <w:r w:rsidRPr="008E4B5A">
        <w:t>s</w:t>
      </w:r>
      <w:r w:rsidRPr="008E4B5A">
        <w:t xml:space="preserve">kunden mit Erdgas gemäß § 53 a EnWG ergriffen werden. </w:t>
      </w:r>
    </w:p>
    <w:p w:rsidR="005959C2" w:rsidRPr="008E4B5A" w:rsidRDefault="005959C2" w:rsidP="00817985">
      <w:pPr>
        <w:numPr>
          <w:ilvl w:val="0"/>
          <w:numId w:val="63"/>
        </w:numPr>
      </w:pPr>
      <w:r w:rsidRPr="008E4B5A">
        <w:t>Eine Haftung der Vertragspartner nach zwingenden Vorschriften des Haftpflichtgese</w:t>
      </w:r>
      <w:r w:rsidRPr="008E4B5A">
        <w:t>t</w:t>
      </w:r>
      <w:r w:rsidRPr="008E4B5A">
        <w:t xml:space="preserve">zes und anderen Rechtsvorschriften bleibt unberührt. </w:t>
      </w:r>
    </w:p>
    <w:p w:rsidR="005959C2" w:rsidRPr="008E4B5A" w:rsidRDefault="005959C2" w:rsidP="00817985">
      <w:pPr>
        <w:numPr>
          <w:ilvl w:val="0"/>
          <w:numId w:val="63"/>
        </w:numPr>
      </w:pPr>
      <w:bookmarkStart w:id="97" w:name="_Toc297207940"/>
      <w:r w:rsidRPr="00223FFC">
        <w:t xml:space="preserve">Die Ziffern 1 bis </w:t>
      </w:r>
      <w:r>
        <w:t>5</w:t>
      </w:r>
      <w:r w:rsidRPr="00223FFC">
        <w:t xml:space="preserve"> gelten</w:t>
      </w:r>
      <w:r w:rsidRPr="008E4B5A">
        <w:t xml:space="preserve"> auch zu Gunsten der gesetzlichen Vertreter, Arbeitnehmer sowie der Erfüllungs- oder Verrichtungsgehilfen de</w:t>
      </w:r>
      <w:r>
        <w:t>r Vertragspartner, soweit diese für den jeweiligen Vertragspartner Anwendung finden</w:t>
      </w:r>
      <w:r w:rsidRPr="008E4B5A">
        <w:t>.</w:t>
      </w:r>
    </w:p>
    <w:p w:rsidR="00C842E5" w:rsidRPr="008E4B5A" w:rsidRDefault="00C842E5" w:rsidP="00C842E5">
      <w:pPr>
        <w:pStyle w:val="berschrift1"/>
      </w:pPr>
      <w:bookmarkStart w:id="98" w:name="_Toc297207936"/>
      <w:bookmarkStart w:id="99" w:name="_Toc476824439"/>
      <w:r>
        <w:t>§ 3</w:t>
      </w:r>
      <w:r w:rsidR="00D333C1">
        <w:t>6</w:t>
      </w:r>
      <w:r>
        <w:t xml:space="preserve"> </w:t>
      </w:r>
      <w:r w:rsidRPr="008E4B5A">
        <w:t>Laufzeit</w:t>
      </w:r>
      <w:bookmarkEnd w:id="98"/>
      <w:bookmarkEnd w:id="99"/>
    </w:p>
    <w:p w:rsidR="00C842E5" w:rsidRPr="00BA0B35" w:rsidRDefault="00C842E5" w:rsidP="00C842E5">
      <w:pPr>
        <w:pStyle w:val="Kommentartext"/>
        <w:shd w:val="clear" w:color="auto" w:fill="FFFFFF"/>
        <w:rPr>
          <w:rFonts w:eastAsia="Calibri" w:cs="Arial"/>
          <w:sz w:val="22"/>
          <w:szCs w:val="22"/>
          <w:lang w:eastAsia="en-US"/>
        </w:rPr>
      </w:pPr>
      <w:r w:rsidRPr="00BA0B35">
        <w:rPr>
          <w:rFonts w:eastAsia="Calibri" w:cs="Arial"/>
          <w:sz w:val="22"/>
          <w:szCs w:val="22"/>
          <w:lang w:eastAsia="en-US"/>
        </w:rPr>
        <w:t>Dieser Vertrag läuft auf unbestimmte Zeit</w:t>
      </w:r>
      <w:r w:rsidRPr="0053093E">
        <w:rPr>
          <w:rFonts w:eastAsia="Calibri" w:cs="Arial"/>
          <w:sz w:val="22"/>
          <w:szCs w:val="22"/>
          <w:lang w:eastAsia="en-US"/>
        </w:rPr>
        <w:t>. 1 Jahr nach Ablauf des Monats, in dem die letzte Einbringung oder Nominierung von Ein- oder Ausspeisepunkten in den Bilanzkreis oder der Nominierung von virtuellen Ein- oder Ausspeisepunkten in den Bilanzkreis stattgefunden hat</w:t>
      </w:r>
      <w:r>
        <w:rPr>
          <w:rFonts w:eastAsia="Calibri" w:cs="Arial"/>
          <w:sz w:val="22"/>
          <w:szCs w:val="22"/>
          <w:lang w:eastAsia="en-US"/>
        </w:rPr>
        <w:t>,</w:t>
      </w:r>
      <w:r w:rsidRPr="0053093E">
        <w:rPr>
          <w:rFonts w:eastAsia="Calibri" w:cs="Arial"/>
          <w:sz w:val="22"/>
          <w:szCs w:val="22"/>
          <w:lang w:eastAsia="en-US"/>
        </w:rPr>
        <w:t xml:space="preserve"> kann der Marktgebietsverantwortliche dem Bilanzkreisverantwortlichen die Beendigung des Vertrages mit einer Frist von einem Monat schriftlich mitteilen. Der Bilanzkreisverantwortliche kann der Beendigung des Vertrages schriftlich widersprechen. Ab</w:t>
      </w:r>
      <w:r w:rsidRPr="00BA0B35">
        <w:rPr>
          <w:rFonts w:eastAsia="Calibri" w:cs="Arial"/>
          <w:sz w:val="22"/>
          <w:szCs w:val="22"/>
          <w:lang w:eastAsia="en-US"/>
        </w:rPr>
        <w:t xml:space="preserve"> dem Zeitpunkt des Wide</w:t>
      </w:r>
      <w:r w:rsidRPr="00BA0B35">
        <w:rPr>
          <w:rFonts w:eastAsia="Calibri" w:cs="Arial"/>
          <w:sz w:val="22"/>
          <w:szCs w:val="22"/>
          <w:lang w:eastAsia="en-US"/>
        </w:rPr>
        <w:t>r</w:t>
      </w:r>
      <w:r w:rsidRPr="00BA0B35">
        <w:rPr>
          <w:rFonts w:eastAsia="Calibri" w:cs="Arial"/>
          <w:sz w:val="22"/>
          <w:szCs w:val="22"/>
          <w:lang w:eastAsia="en-US"/>
        </w:rPr>
        <w:t>spruchs gelten Satz 2 und 3 entsprechend.</w:t>
      </w:r>
      <w:r w:rsidRPr="00DF75B3">
        <w:rPr>
          <w:rFonts w:eastAsia="Calibri" w:cs="Arial"/>
          <w:sz w:val="22"/>
          <w:szCs w:val="22"/>
          <w:lang w:eastAsia="en-US"/>
        </w:rPr>
        <w:t xml:space="preserve"> </w:t>
      </w:r>
    </w:p>
    <w:p w:rsidR="00CE1213" w:rsidRPr="008E4B5A" w:rsidRDefault="00CE05F9" w:rsidP="001D6916">
      <w:pPr>
        <w:pStyle w:val="berschrift1"/>
      </w:pPr>
      <w:bookmarkStart w:id="100" w:name="_Toc476824440"/>
      <w:r>
        <w:t xml:space="preserve">§ </w:t>
      </w:r>
      <w:r w:rsidR="00C842E5">
        <w:t>3</w:t>
      </w:r>
      <w:r w:rsidR="00D333C1">
        <w:t>7</w:t>
      </w:r>
      <w:r w:rsidR="001D6916">
        <w:t xml:space="preserve"> </w:t>
      </w:r>
      <w:r w:rsidR="00CE1213" w:rsidRPr="008E4B5A">
        <w:t>Leistungsaussetzung und Kündigung</w:t>
      </w:r>
      <w:bookmarkEnd w:id="97"/>
      <w:bookmarkEnd w:id="100"/>
    </w:p>
    <w:p w:rsidR="003D27DE" w:rsidRDefault="00CE1213" w:rsidP="00817985">
      <w:pPr>
        <w:numPr>
          <w:ilvl w:val="0"/>
          <w:numId w:val="38"/>
        </w:numPr>
      </w:pPr>
      <w:r w:rsidRPr="008E4B5A">
        <w:t>Der M</w:t>
      </w:r>
      <w:r>
        <w:t>arktgebietsverantwortliche</w:t>
      </w:r>
      <w:r w:rsidRPr="008E4B5A">
        <w:t xml:space="preserve"> ist berechtigt</w:t>
      </w:r>
      <w:r>
        <w:t>,</w:t>
      </w:r>
      <w:r w:rsidRPr="008E4B5A">
        <w:t xml:space="preserve"> vertragliche Leistungen auszusetzen oder </w:t>
      </w:r>
      <w:r w:rsidRPr="00765AB1">
        <w:t>anzupassen, soweit diese infolge der Anwendung der §§ 16 und 16 a EnWG</w:t>
      </w:r>
      <w:r w:rsidRPr="008E4B5A">
        <w:t xml:space="preserve"> durch den Netzbetreiber von dem M</w:t>
      </w:r>
      <w:r>
        <w:t>arktgebietsverantwortlichen</w:t>
      </w:r>
      <w:r w:rsidRPr="008E4B5A">
        <w:t xml:space="preserve"> nicht mehr ausgeführt werden können.</w:t>
      </w:r>
      <w:r w:rsidRPr="008E4B5A">
        <w:rPr>
          <w:rFonts w:ascii="Helvetica" w:hAnsi="Helvetica" w:cs="Helvetica"/>
        </w:rPr>
        <w:t xml:space="preserve"> Im Falle einer Aussetzung oder Anpassung von vertraglichen Leistu</w:t>
      </w:r>
      <w:r w:rsidRPr="008E4B5A">
        <w:rPr>
          <w:rFonts w:ascii="Helvetica" w:hAnsi="Helvetica" w:cs="Helvetica"/>
        </w:rPr>
        <w:t>n</w:t>
      </w:r>
      <w:r w:rsidRPr="008E4B5A">
        <w:rPr>
          <w:rFonts w:ascii="Helvetica" w:hAnsi="Helvetica" w:cs="Helvetica"/>
        </w:rPr>
        <w:t>gen haben die Vertragspartner ihre jeweiligen Verpflichtungen unverzüglich wieder au</w:t>
      </w:r>
      <w:r w:rsidRPr="008E4B5A">
        <w:rPr>
          <w:rFonts w:ascii="Helvetica" w:hAnsi="Helvetica" w:cs="Helvetica"/>
        </w:rPr>
        <w:t>f</w:t>
      </w:r>
      <w:r w:rsidRPr="008E4B5A">
        <w:rPr>
          <w:rFonts w:ascii="Helvetica" w:hAnsi="Helvetica" w:cs="Helvetica"/>
        </w:rPr>
        <w:t>zunehmen, sobald die Gründe für die Aussetzung oder Anpassung entfallen sind.</w:t>
      </w:r>
    </w:p>
    <w:p w:rsidR="003D27DE" w:rsidRDefault="00CE1213" w:rsidP="00817985">
      <w:pPr>
        <w:numPr>
          <w:ilvl w:val="0"/>
          <w:numId w:val="38"/>
        </w:numPr>
        <w:rPr>
          <w:rFonts w:ascii="Helvetica" w:hAnsi="Helvetica" w:cs="Helvetica"/>
        </w:rPr>
      </w:pPr>
      <w:r w:rsidRPr="008E4B5A">
        <w:rPr>
          <w:rFonts w:ascii="Helvetica" w:hAnsi="Helvetica" w:cs="Helvetica"/>
        </w:rPr>
        <w:t>Der Vertrag kann mit einer Frist von 3 Monaten auf das Ende eines Kalendermonats schriftlich per Brief</w:t>
      </w:r>
      <w:r w:rsidR="005946BF">
        <w:rPr>
          <w:rFonts w:ascii="Helvetica" w:hAnsi="Helvetica" w:cs="Helvetica"/>
        </w:rPr>
        <w:t>, per E-Mail</w:t>
      </w:r>
      <w:r w:rsidRPr="008E4B5A">
        <w:rPr>
          <w:rFonts w:ascii="Helvetica" w:hAnsi="Helvetica" w:cs="Helvetica"/>
        </w:rPr>
        <w:t xml:space="preserve"> oder per Fax gekündigt werden.</w:t>
      </w:r>
      <w:r w:rsidR="0048771A">
        <w:rPr>
          <w:rFonts w:ascii="Helvetica" w:hAnsi="Helvetica" w:cs="Helvetica"/>
        </w:rPr>
        <w:t xml:space="preserve"> </w:t>
      </w:r>
      <w:r w:rsidR="0048771A" w:rsidRPr="00F36E7E">
        <w:t>Der Vertrag kann von dem Marktgebietsverantwortlichen jedoch nur gekündigt werden, soweit eine Pflicht zum Netzzugang auf der Grundlage des EnWG, der GasNZV oder anderer Rechtsvo</w:t>
      </w:r>
      <w:r w:rsidR="0048771A" w:rsidRPr="00F36E7E">
        <w:t>r</w:t>
      </w:r>
      <w:r w:rsidR="0048771A" w:rsidRPr="00F36E7E">
        <w:t>schriften nicht oder nicht mehr besteht oder gleichzeitig mit der Kündigung der A</w:t>
      </w:r>
      <w:r w:rsidR="0048771A" w:rsidRPr="00F36E7E">
        <w:t>b</w:t>
      </w:r>
      <w:r w:rsidR="0048771A" w:rsidRPr="00F36E7E">
        <w:t>schluss eines neuen Bilanzkreisvertrages angeboten wird, der den Anforderungen des EnWG, der GasNZV und anderer Rechtsvorschriften entspricht.</w:t>
      </w:r>
    </w:p>
    <w:p w:rsidR="003D27DE" w:rsidRDefault="00CE1213" w:rsidP="00817985">
      <w:pPr>
        <w:numPr>
          <w:ilvl w:val="0"/>
          <w:numId w:val="38"/>
        </w:numPr>
        <w:rPr>
          <w:rFonts w:ascii="Helvetica" w:hAnsi="Helvetica" w:cs="Helvetica"/>
        </w:rPr>
      </w:pPr>
      <w:r w:rsidRPr="008E4B5A">
        <w:rPr>
          <w:rFonts w:ascii="Helvetica" w:hAnsi="Helvetica" w:cs="Helvetica"/>
        </w:rPr>
        <w:t>Dieser Vertrag kann fristlos aus wichtigem Grund gekündigt werden.</w:t>
      </w:r>
    </w:p>
    <w:p w:rsidR="00CE1213" w:rsidRPr="008E4B5A" w:rsidRDefault="00CE1213" w:rsidP="00C27E03">
      <w:pPr>
        <w:pStyle w:val="GL2OhneZiffer"/>
      </w:pPr>
      <w:r w:rsidRPr="008E4B5A">
        <w:t>Ein wichtiger Grund liegt insbesondere vor, wenn</w:t>
      </w:r>
    </w:p>
    <w:p w:rsidR="003D27DE" w:rsidRDefault="00CE1213" w:rsidP="00817985">
      <w:pPr>
        <w:numPr>
          <w:ilvl w:val="0"/>
          <w:numId w:val="39"/>
        </w:numPr>
      </w:pPr>
      <w:r w:rsidRPr="008E4B5A">
        <w:t xml:space="preserve">gegen wesentliche </w:t>
      </w:r>
      <w:r w:rsidRPr="00223FFC">
        <w:t>Bestimmungen dieses Vertrages wiederholt trotz Abmahnung schwerwiegend verstoßen wird</w:t>
      </w:r>
      <w:r w:rsidR="00137849" w:rsidRPr="00223FFC">
        <w:t xml:space="preserve"> oder</w:t>
      </w:r>
    </w:p>
    <w:p w:rsidR="003D27DE" w:rsidRDefault="00CE1213" w:rsidP="00817985">
      <w:pPr>
        <w:numPr>
          <w:ilvl w:val="0"/>
          <w:numId w:val="39"/>
        </w:numPr>
      </w:pPr>
      <w:r w:rsidRPr="00223FFC">
        <w:t xml:space="preserve">der Bilanzkreisverantwortliche seiner Verpflichtung zur Stellung einer Sicherheit </w:t>
      </w:r>
      <w:r w:rsidR="0061636C" w:rsidRPr="00DD64A4">
        <w:t xml:space="preserve">nach </w:t>
      </w:r>
      <w:r w:rsidR="00DD64A4" w:rsidRPr="00DD64A4">
        <w:t xml:space="preserve">§ </w:t>
      </w:r>
      <w:r w:rsidR="0097421A">
        <w:t>2</w:t>
      </w:r>
      <w:r w:rsidR="00D333C1">
        <w:t>8</w:t>
      </w:r>
      <w:r w:rsidR="0061636C" w:rsidRPr="00DD64A4">
        <w:t xml:space="preserve"> </w:t>
      </w:r>
      <w:r w:rsidR="00443E0E" w:rsidRPr="00DD64A4">
        <w:t xml:space="preserve">oder zur Leistung einer Vorauszahlung </w:t>
      </w:r>
      <w:r w:rsidRPr="00DD64A4">
        <w:t xml:space="preserve">nach </w:t>
      </w:r>
      <w:r w:rsidR="00DD64A4" w:rsidRPr="00DD64A4">
        <w:t xml:space="preserve">§ </w:t>
      </w:r>
      <w:r w:rsidR="00D333C1">
        <w:t>29</w:t>
      </w:r>
      <w:r w:rsidR="00443E0E" w:rsidRPr="00DD64A4">
        <w:t xml:space="preserve"> </w:t>
      </w:r>
      <w:r w:rsidRPr="00DD64A4">
        <w:t xml:space="preserve">nicht fristgerecht </w:t>
      </w:r>
      <w:r w:rsidR="006C357A" w:rsidRPr="00DD64A4">
        <w:t xml:space="preserve">oder nicht vollständig </w:t>
      </w:r>
      <w:r w:rsidRPr="00DD64A4">
        <w:t>nachkommt</w:t>
      </w:r>
      <w:r w:rsidR="00D62CF3" w:rsidRPr="00DD64A4">
        <w:t>.</w:t>
      </w:r>
    </w:p>
    <w:p w:rsidR="00CE1213" w:rsidRPr="008E4B5A" w:rsidRDefault="00CE05F9" w:rsidP="001D6916">
      <w:pPr>
        <w:pStyle w:val="berschrift1"/>
      </w:pPr>
      <w:bookmarkStart w:id="101" w:name="_Toc297207941"/>
      <w:bookmarkStart w:id="102" w:name="_Toc476824441"/>
      <w:r>
        <w:t xml:space="preserve">§ </w:t>
      </w:r>
      <w:r w:rsidR="00C842E5">
        <w:t>3</w:t>
      </w:r>
      <w:r w:rsidR="00D333C1">
        <w:t>8</w:t>
      </w:r>
      <w:r w:rsidR="001D6916">
        <w:t xml:space="preserve"> </w:t>
      </w:r>
      <w:r w:rsidR="00CE1213" w:rsidRPr="008E4B5A">
        <w:t>Datenweitergabe und Datenverarbeitung</w:t>
      </w:r>
      <w:bookmarkEnd w:id="101"/>
      <w:bookmarkEnd w:id="102"/>
    </w:p>
    <w:p w:rsidR="00CE1213" w:rsidRPr="00F41C03" w:rsidRDefault="00CE1213" w:rsidP="00C67731">
      <w:r w:rsidRPr="008E4B5A">
        <w:t>Der M</w:t>
      </w:r>
      <w:r>
        <w:t>arktgebietsverantwortliche</w:t>
      </w:r>
      <w:r w:rsidRPr="008E4B5A">
        <w:t xml:space="preserve"> ist berechtigt, Verbrauchs-, Abrechnungs- und Vertragsd</w:t>
      </w:r>
      <w:r w:rsidRPr="008E4B5A">
        <w:t>a</w:t>
      </w:r>
      <w:r w:rsidRPr="008E4B5A">
        <w:t>ten an</w:t>
      </w:r>
      <w:r w:rsidR="00770EAF">
        <w:t xml:space="preserve"> </w:t>
      </w:r>
      <w:r w:rsidRPr="008E4B5A">
        <w:t>Netzbetreiber weiterzugeben, soweit und solange dies zur ordnungsgemäßen Abwic</w:t>
      </w:r>
      <w:r w:rsidRPr="008E4B5A">
        <w:t>k</w:t>
      </w:r>
      <w:r w:rsidRPr="008E4B5A">
        <w:t>lung des jeweiligen Vertrages erforderlich ist. Der Bilanzkreisverantwortliche erklärt sein Ei</w:t>
      </w:r>
      <w:r w:rsidRPr="008E4B5A">
        <w:t>n</w:t>
      </w:r>
      <w:r w:rsidRPr="008E4B5A">
        <w:t>verständnis zur automatisierten Datenverarbeitung durch den M</w:t>
      </w:r>
      <w:r>
        <w:t>arktgebietsverantwortlichen</w:t>
      </w:r>
      <w:r w:rsidRPr="008E4B5A">
        <w:t xml:space="preserve"> oder ein von dem M</w:t>
      </w:r>
      <w:r>
        <w:t>arktgebietsverantwortlichen</w:t>
      </w:r>
      <w:r w:rsidRPr="008E4B5A">
        <w:t xml:space="preserve"> beauftragtes Unternehmen nach den Vo</w:t>
      </w:r>
      <w:r w:rsidRPr="008E4B5A">
        <w:t>r</w:t>
      </w:r>
      <w:r w:rsidRPr="008E4B5A">
        <w:t xml:space="preserve">schriften der Datenschutzgesetze. </w:t>
      </w:r>
      <w:r w:rsidR="00DE4239">
        <w:t>Der Bilanzkreisverantwortliche teilt dem Marktgebietsv</w:t>
      </w:r>
      <w:r w:rsidR="00DE4239">
        <w:t>e</w:t>
      </w:r>
      <w:r w:rsidR="00DE4239">
        <w:t>rantwortlichen seine</w:t>
      </w:r>
      <w:r w:rsidR="00030182">
        <w:t xml:space="preserve"> jeweiligen Ansprechpartner </w:t>
      </w:r>
      <w:r w:rsidR="00DE4239">
        <w:t xml:space="preserve">zur Veröffentlichung </w:t>
      </w:r>
      <w:r w:rsidR="00272457">
        <w:t>auf de</w:t>
      </w:r>
      <w:r w:rsidR="00C9371A">
        <w:t>m für Netzbetre</w:t>
      </w:r>
      <w:r w:rsidR="00C9371A">
        <w:t>i</w:t>
      </w:r>
      <w:r w:rsidR="00C9371A">
        <w:t>ber und Bil</w:t>
      </w:r>
      <w:r w:rsidR="00D25D86">
        <w:t>a</w:t>
      </w:r>
      <w:r w:rsidR="00C9371A">
        <w:t>nzkreisverantwortliche zugänglichen Portal</w:t>
      </w:r>
      <w:r w:rsidR="00F41C03">
        <w:t xml:space="preserve"> oder zum Versand mittels Deklarat</w:t>
      </w:r>
      <w:r w:rsidR="00F41C03">
        <w:t>i</w:t>
      </w:r>
      <w:r w:rsidR="00F41C03">
        <w:t>onsmitteilung</w:t>
      </w:r>
      <w:r w:rsidR="00272457">
        <w:t xml:space="preserve"> unter Einhaltung der Datenschutzgesetze</w:t>
      </w:r>
      <w:r w:rsidR="00F41C03">
        <w:t xml:space="preserve"> mit</w:t>
      </w:r>
      <w:r w:rsidR="00272457">
        <w:t>.</w:t>
      </w:r>
      <w:r w:rsidR="00F41C03">
        <w:t xml:space="preserve"> </w:t>
      </w:r>
    </w:p>
    <w:p w:rsidR="00CE1213" w:rsidRPr="008E4B5A" w:rsidRDefault="00CE05F9" w:rsidP="00D669AB">
      <w:pPr>
        <w:pStyle w:val="berschrift1"/>
      </w:pPr>
      <w:bookmarkStart w:id="103" w:name="_Toc297207942"/>
      <w:bookmarkStart w:id="104" w:name="_Toc476824442"/>
      <w:r>
        <w:t xml:space="preserve">§ </w:t>
      </w:r>
      <w:r w:rsidR="00D333C1">
        <w:t>39</w:t>
      </w:r>
      <w:r w:rsidR="00D669AB">
        <w:t xml:space="preserve"> </w:t>
      </w:r>
      <w:r w:rsidR="00CE1213" w:rsidRPr="008E4B5A">
        <w:t>Vertraulichkeit</w:t>
      </w:r>
      <w:bookmarkEnd w:id="103"/>
      <w:bookmarkEnd w:id="104"/>
    </w:p>
    <w:p w:rsidR="003D27DE" w:rsidRDefault="00CE1213" w:rsidP="00817985">
      <w:pPr>
        <w:numPr>
          <w:ilvl w:val="0"/>
          <w:numId w:val="40"/>
        </w:numPr>
      </w:pPr>
      <w:r w:rsidRPr="008E4B5A">
        <w:t xml:space="preserve">Die </w:t>
      </w:r>
      <w:r w:rsidR="003E77B2">
        <w:t>Vertragsp</w:t>
      </w:r>
      <w:r w:rsidRPr="008E4B5A">
        <w:t>art</w:t>
      </w:r>
      <w:r w:rsidR="003E77B2">
        <w:t>n</w:t>
      </w:r>
      <w:r w:rsidRPr="008E4B5A">
        <w:t>e</w:t>
      </w:r>
      <w:r w:rsidR="003E77B2">
        <w:t>r</w:t>
      </w:r>
      <w:r w:rsidRPr="008E4B5A">
        <w:t xml:space="preserve"> haben den Inhalt eines Vertrages und alle Informationen, die sie</w:t>
      </w:r>
      <w:r>
        <w:t xml:space="preserve"> </w:t>
      </w:r>
      <w:r w:rsidRPr="008E4B5A">
        <w:t xml:space="preserve">im Zusammenhang mit dem Vertrag </w:t>
      </w:r>
      <w:r w:rsidRPr="00223FFC">
        <w:t>erhalten haben (im Folgenden „vertrauliche Inform</w:t>
      </w:r>
      <w:r w:rsidRPr="00223FFC">
        <w:t>a</w:t>
      </w:r>
      <w:r w:rsidRPr="00223FFC">
        <w:t xml:space="preserve">tionen“ genannt) vorbehaltlich der Bestimmungen in Ziffer 2 </w:t>
      </w:r>
      <w:r w:rsidR="00223FFC">
        <w:t xml:space="preserve">sowie </w:t>
      </w:r>
      <w:r w:rsidR="00CD353C" w:rsidRPr="00CD353C">
        <w:t xml:space="preserve">§ </w:t>
      </w:r>
      <w:r w:rsidR="0097421A">
        <w:t>3</w:t>
      </w:r>
      <w:r w:rsidR="00D333C1">
        <w:t>8</w:t>
      </w:r>
      <w:r w:rsidR="00223FFC">
        <w:t xml:space="preserve"> </w:t>
      </w:r>
      <w:r w:rsidRPr="00223FFC">
        <w:t>vertraulich zu behandeln und nicht offen zu legen oder Dritten zugänglich zu machen, es sei</w:t>
      </w:r>
      <w:r w:rsidRPr="008E4B5A">
        <w:t xml:space="preserve"> denn, der betroffene Vertragspartner hat dies zuvor schriftlich genehmigt. Die Vertragspartner verpflichten sich, die vertraulichen Informationen ausschließlich zum Zweck der Durc</w:t>
      </w:r>
      <w:r w:rsidRPr="008E4B5A">
        <w:t>h</w:t>
      </w:r>
      <w:r w:rsidRPr="008E4B5A">
        <w:t>führung des jeweiligen Vertrages zu verwenden.</w:t>
      </w:r>
    </w:p>
    <w:p w:rsidR="00FF2A53" w:rsidRPr="008E4B5A" w:rsidRDefault="00FF2A53" w:rsidP="00817985">
      <w:pPr>
        <w:numPr>
          <w:ilvl w:val="0"/>
          <w:numId w:val="40"/>
        </w:numPr>
      </w:pPr>
      <w:r w:rsidRPr="008E4B5A">
        <w:t>Jeder Vertragspartner hat das Recht, vertrauliche Informationen, die er vom</w:t>
      </w:r>
      <w:r>
        <w:t xml:space="preserve"> </w:t>
      </w:r>
      <w:r w:rsidRPr="008E4B5A">
        <w:t>anderen Vertragspartner erhalten hat, ohne deren schriftliche Genehmigung</w:t>
      </w:r>
      <w:r>
        <w:t xml:space="preserve"> </w:t>
      </w:r>
      <w:r w:rsidRPr="008E4B5A">
        <w:t xml:space="preserve">offen zu legen </w:t>
      </w:r>
    </w:p>
    <w:p w:rsidR="003D27DE" w:rsidRDefault="00CE1213" w:rsidP="00817985">
      <w:pPr>
        <w:numPr>
          <w:ilvl w:val="0"/>
          <w:numId w:val="41"/>
        </w:numPr>
      </w:pPr>
      <w:r w:rsidRPr="008E4B5A">
        <w:t xml:space="preserve">gegenüber einem verbundenen Unternehmen, sofern dieses in gleicher Weise zur Vertraulichkeit verpflichtet ist, </w:t>
      </w:r>
    </w:p>
    <w:p w:rsidR="003D27DE" w:rsidRDefault="00CE1213" w:rsidP="00817985">
      <w:pPr>
        <w:numPr>
          <w:ilvl w:val="0"/>
          <w:numId w:val="41"/>
        </w:numPr>
      </w:pPr>
      <w:r w:rsidRPr="008E4B5A">
        <w:t xml:space="preserve">gegenüber seinen </w:t>
      </w:r>
      <w:r w:rsidR="00BC3085">
        <w:t xml:space="preserve">Gesellschaftern, </w:t>
      </w:r>
      <w:r w:rsidRPr="008E4B5A">
        <w:t>Vertretern, Beratern, Banken und Versich</w:t>
      </w:r>
      <w:r w:rsidRPr="008E4B5A">
        <w:t>e</w:t>
      </w:r>
      <w:r w:rsidRPr="008E4B5A">
        <w:t>rungsgesellschaften, wenn und soweit die Offenlegung für die ordnungsgemäße E</w:t>
      </w:r>
      <w:r w:rsidRPr="008E4B5A">
        <w:t>r</w:t>
      </w:r>
      <w:r w:rsidRPr="008E4B5A">
        <w:t>füllung der vertraglichen Verpflichtungen erforderlich ist und diese Personen oder Gesellschaften sich ihrerseits zuvor zur vertraulichen Behandlung der Informationen verpflichtet haben oder von Berufs wegen gesetzlich zur Verschwiegenheit verpflic</w:t>
      </w:r>
      <w:r w:rsidRPr="008E4B5A">
        <w:t>h</w:t>
      </w:r>
      <w:r w:rsidRPr="008E4B5A">
        <w:t xml:space="preserve">tet sind; oder </w:t>
      </w:r>
    </w:p>
    <w:p w:rsidR="003D27DE" w:rsidRDefault="00CE1213" w:rsidP="00817985">
      <w:pPr>
        <w:numPr>
          <w:ilvl w:val="0"/>
          <w:numId w:val="41"/>
        </w:numPr>
      </w:pPr>
      <w:r w:rsidRPr="008E4B5A">
        <w:t>in dem Umfang, wie diese vertraulichen Informationen - dem diese Informationen empfangenden Vertragspartner zu dem Zeitpunkt, zu dem er sie von dem anderen Vertragspartner erhalten hat, berechtigterweise bereits bekannt sind, bereits öffen</w:t>
      </w:r>
      <w:r w:rsidRPr="008E4B5A">
        <w:t>t</w:t>
      </w:r>
      <w:r w:rsidRPr="008E4B5A">
        <w:t>lich zugänglich sind oder der Öffentlichkeit in anderer Weise als durch Tun oder Unterlassen des empfangenden Vertragspartners zugänglich werden; oder von e</w:t>
      </w:r>
      <w:r w:rsidRPr="008E4B5A">
        <w:t>i</w:t>
      </w:r>
      <w:r w:rsidRPr="008E4B5A">
        <w:t>nem Vertragspartner aufgrund einer gesetzlichen Bestimmung oder einer gerichtl</w:t>
      </w:r>
      <w:r w:rsidRPr="008E4B5A">
        <w:t>i</w:t>
      </w:r>
      <w:r w:rsidRPr="008E4B5A">
        <w:t>chen oder behördlichen Anordnung oder einer Anfrage der Regulierungsbehörde o</w:t>
      </w:r>
      <w:r w:rsidRPr="008E4B5A">
        <w:t>f</w:t>
      </w:r>
      <w:r w:rsidRPr="008E4B5A">
        <w:t>fen gelegt werden müssen.</w:t>
      </w:r>
    </w:p>
    <w:p w:rsidR="003D27DE" w:rsidRDefault="00CE1213" w:rsidP="00817985">
      <w:pPr>
        <w:numPr>
          <w:ilvl w:val="0"/>
          <w:numId w:val="40"/>
        </w:numPr>
      </w:pPr>
      <w:r w:rsidRPr="008E4B5A">
        <w:t>Die Pflicht zur Einhaltung der Vertraulichkeit endet 2 Jahre nach dem Ende</w:t>
      </w:r>
      <w:r>
        <w:t xml:space="preserve"> </w:t>
      </w:r>
      <w:r w:rsidRPr="008E4B5A">
        <w:t>des jeweil</w:t>
      </w:r>
      <w:r w:rsidRPr="008E4B5A">
        <w:t>i</w:t>
      </w:r>
      <w:r w:rsidRPr="008E4B5A">
        <w:t>gen Vertrages.</w:t>
      </w:r>
    </w:p>
    <w:p w:rsidR="003D27DE" w:rsidRDefault="00CE1213" w:rsidP="00817985">
      <w:pPr>
        <w:numPr>
          <w:ilvl w:val="0"/>
          <w:numId w:val="40"/>
        </w:numPr>
      </w:pPr>
      <w:r w:rsidRPr="008E4B5A">
        <w:t xml:space="preserve">§ </w:t>
      </w:r>
      <w:r w:rsidR="003B45D2">
        <w:t>6a</w:t>
      </w:r>
      <w:r w:rsidRPr="008E4B5A">
        <w:t xml:space="preserve"> EnWG bleibt unberührt.</w:t>
      </w:r>
    </w:p>
    <w:p w:rsidR="00CE1213" w:rsidRPr="008E4B5A" w:rsidRDefault="00D669AB" w:rsidP="00D669AB">
      <w:pPr>
        <w:pStyle w:val="berschrift1"/>
      </w:pPr>
      <w:bookmarkStart w:id="105" w:name="_Toc297207943"/>
      <w:bookmarkStart w:id="106" w:name="_Toc476824443"/>
      <w:r>
        <w:t xml:space="preserve">§ </w:t>
      </w:r>
      <w:r w:rsidR="00CE05F9">
        <w:t>4</w:t>
      </w:r>
      <w:r w:rsidR="00D333C1">
        <w:t>0</w:t>
      </w:r>
      <w:r>
        <w:t xml:space="preserve"> </w:t>
      </w:r>
      <w:r w:rsidR="00CE1213" w:rsidRPr="008E4B5A">
        <w:t>Wirtschaftlichkeitsklausel</w:t>
      </w:r>
      <w:bookmarkEnd w:id="105"/>
      <w:bookmarkEnd w:id="106"/>
    </w:p>
    <w:p w:rsidR="003D27DE" w:rsidRDefault="00CE1213" w:rsidP="00817985">
      <w:pPr>
        <w:numPr>
          <w:ilvl w:val="0"/>
          <w:numId w:val="42"/>
        </w:numPr>
      </w:pPr>
      <w:r w:rsidRPr="008E4B5A">
        <w:t>Sollten während der Laufzeit eines Vertrages unvorhergesehene Umstände eintreten, die erhebliche wirtschaftliche, technische oder rechtliche Auswirkungen auf den Vertrag haben, für die aber im Vertrag und d</w:t>
      </w:r>
      <w:r w:rsidR="003E77B2">
        <w:t>en ergänzenden Geschäft</w:t>
      </w:r>
      <w:r w:rsidRPr="008E4B5A">
        <w:t>sbedingungen keine R</w:t>
      </w:r>
      <w:r w:rsidRPr="008E4B5A">
        <w:t>e</w:t>
      </w:r>
      <w:r w:rsidRPr="008E4B5A">
        <w:t>gelungen getroffen oder die bei Vertragsabschluss nicht bedacht wurden und sollte i</w:t>
      </w:r>
      <w:r w:rsidRPr="008E4B5A">
        <w:t>n</w:t>
      </w:r>
      <w:r w:rsidRPr="008E4B5A">
        <w:t>folgedessen irgendeine vertragliche Bestimmung dadurch für eine</w:t>
      </w:r>
      <w:r w:rsidR="00FA2F41">
        <w:t>n</w:t>
      </w:r>
      <w:r w:rsidRPr="008E4B5A">
        <w:t xml:space="preserve"> </w:t>
      </w:r>
      <w:r w:rsidR="00FA2F41">
        <w:t>Vertragspartner</w:t>
      </w:r>
      <w:r w:rsidRPr="008E4B5A">
        <w:t xml:space="preserve"> u</w:t>
      </w:r>
      <w:r w:rsidRPr="008E4B5A">
        <w:t>n</w:t>
      </w:r>
      <w:r w:rsidRPr="008E4B5A">
        <w:t>zumutbar werden, kann d</w:t>
      </w:r>
      <w:r w:rsidR="00FA2F41">
        <w:t>er</w:t>
      </w:r>
      <w:r w:rsidRPr="008E4B5A">
        <w:t xml:space="preserve"> betroffene </w:t>
      </w:r>
      <w:r w:rsidR="00FA2F41">
        <w:t>Vertragspartner</w:t>
      </w:r>
      <w:r w:rsidRPr="008E4B5A">
        <w:t xml:space="preserve"> von de</w:t>
      </w:r>
      <w:r w:rsidR="00FA2F41">
        <w:t>m</w:t>
      </w:r>
      <w:r w:rsidRPr="008E4B5A">
        <w:t xml:space="preserve"> anderen eine entspr</w:t>
      </w:r>
      <w:r w:rsidRPr="008E4B5A">
        <w:t>e</w:t>
      </w:r>
      <w:r w:rsidRPr="008E4B5A">
        <w:t>chende Anpassung der vertraglichen Bestimmungen verlangen, die den geänderten Umständen, unter Berücksichtigung aller wirtschaftlichen, technischen und rechtlichen Auswirkungen auf d</w:t>
      </w:r>
      <w:r w:rsidR="00FA2F41">
        <w:t>en</w:t>
      </w:r>
      <w:r w:rsidRPr="008E4B5A">
        <w:t xml:space="preserve"> andere</w:t>
      </w:r>
      <w:r w:rsidR="00FA2F41">
        <w:t>n</w:t>
      </w:r>
      <w:r w:rsidRPr="008E4B5A">
        <w:t xml:space="preserve"> </w:t>
      </w:r>
      <w:r w:rsidR="00047938">
        <w:t>Vertragspartner</w:t>
      </w:r>
      <w:r w:rsidRPr="008E4B5A">
        <w:t>, Rechnung trägt.</w:t>
      </w:r>
    </w:p>
    <w:p w:rsidR="003D27DE" w:rsidRDefault="00CE1213" w:rsidP="00817985">
      <w:pPr>
        <w:numPr>
          <w:ilvl w:val="0"/>
          <w:numId w:val="42"/>
        </w:numPr>
      </w:pPr>
      <w:r w:rsidRPr="008E4B5A">
        <w:t>D</w:t>
      </w:r>
      <w:r w:rsidR="003E77B2">
        <w:t>er Vertragspartner</w:t>
      </w:r>
      <w:r w:rsidRPr="008E4B5A">
        <w:t>, d</w:t>
      </w:r>
      <w:r w:rsidR="003E77B2">
        <w:t>er</w:t>
      </w:r>
      <w:r w:rsidRPr="008E4B5A">
        <w:t xml:space="preserve"> sich auf solche Umstände beruft, hat die erforderlichen Tats</w:t>
      </w:r>
      <w:r w:rsidRPr="008E4B5A">
        <w:t>a</w:t>
      </w:r>
      <w:r w:rsidRPr="008E4B5A">
        <w:t>chen darzulegen und zu beweisen.</w:t>
      </w:r>
    </w:p>
    <w:p w:rsidR="003D27DE" w:rsidRDefault="00CE1213" w:rsidP="00817985">
      <w:pPr>
        <w:numPr>
          <w:ilvl w:val="0"/>
          <w:numId w:val="42"/>
        </w:numPr>
      </w:pPr>
      <w:r w:rsidRPr="008E4B5A">
        <w:t>Der Anspruch auf Änderung der vertragli</w:t>
      </w:r>
      <w:r>
        <w:t xml:space="preserve">chen Bestimmungen besteht ab dem </w:t>
      </w:r>
      <w:r w:rsidRPr="008E4B5A">
        <w:t>Zeitpunkt, an dem d</w:t>
      </w:r>
      <w:r w:rsidR="00047938">
        <w:t>er</w:t>
      </w:r>
      <w:r w:rsidRPr="008E4B5A">
        <w:t xml:space="preserve"> fordernde </w:t>
      </w:r>
      <w:r w:rsidR="00047938">
        <w:t>Vertragspartner</w:t>
      </w:r>
      <w:r w:rsidRPr="008E4B5A">
        <w:t xml:space="preserve"> das erste Mal Änderungen der vertraglichen B</w:t>
      </w:r>
      <w:r w:rsidRPr="008E4B5A">
        <w:t>e</w:t>
      </w:r>
      <w:r w:rsidRPr="008E4B5A">
        <w:t>stimmungen aufgrund geänderter Umstände fordert, es sei denn, dass eine frühere Ge</w:t>
      </w:r>
      <w:r w:rsidRPr="008E4B5A">
        <w:t>l</w:t>
      </w:r>
      <w:r w:rsidRPr="008E4B5A">
        <w:t>tendmachung de</w:t>
      </w:r>
      <w:r w:rsidR="00047938">
        <w:t>s</w:t>
      </w:r>
      <w:r w:rsidRPr="008E4B5A">
        <w:t xml:space="preserve"> fordernden </w:t>
      </w:r>
      <w:r w:rsidR="00047938">
        <w:t>Vertragspartners</w:t>
      </w:r>
      <w:r w:rsidRPr="008E4B5A">
        <w:t xml:space="preserve"> vernünftiger Weise nicht zuzumuten war.</w:t>
      </w:r>
    </w:p>
    <w:p w:rsidR="00CE1213" w:rsidRPr="008E4B5A" w:rsidRDefault="00CE05F9" w:rsidP="00D669AB">
      <w:pPr>
        <w:pStyle w:val="berschrift1"/>
      </w:pPr>
      <w:bookmarkStart w:id="107" w:name="_Toc297207944"/>
      <w:bookmarkStart w:id="108" w:name="_Toc476824444"/>
      <w:r>
        <w:t>§ 4</w:t>
      </w:r>
      <w:r w:rsidR="00D333C1">
        <w:t>1</w:t>
      </w:r>
      <w:r w:rsidR="00D669AB">
        <w:t xml:space="preserve"> </w:t>
      </w:r>
      <w:r w:rsidR="00CE1213" w:rsidRPr="008E4B5A">
        <w:t>Rechtsnachfolge</w:t>
      </w:r>
      <w:bookmarkEnd w:id="107"/>
      <w:bookmarkEnd w:id="108"/>
    </w:p>
    <w:p w:rsidR="003D27DE" w:rsidRDefault="00CE1213" w:rsidP="00817985">
      <w:pPr>
        <w:numPr>
          <w:ilvl w:val="0"/>
          <w:numId w:val="43"/>
        </w:numPr>
      </w:pPr>
      <w:r w:rsidRPr="008E4B5A">
        <w:t xml:space="preserve">Die </w:t>
      </w:r>
      <w:r w:rsidR="00AF02D4">
        <w:t xml:space="preserve">Übertragung des Vertrages auf einen Dritten bedarf </w:t>
      </w:r>
      <w:r w:rsidRPr="00770EAF">
        <w:t>der vorherigen Zustimmung durch den anderen Vertragspartner. Die Zustimmung darf nur aus wichtigem Grund verweigert werden.</w:t>
      </w:r>
    </w:p>
    <w:p w:rsidR="003D27DE" w:rsidRDefault="00CE1213" w:rsidP="00817985">
      <w:pPr>
        <w:numPr>
          <w:ilvl w:val="0"/>
          <w:numId w:val="43"/>
        </w:numPr>
      </w:pPr>
      <w:r w:rsidRPr="00770EAF">
        <w:t xml:space="preserve">Die Übertragung gemäß Ziffer 1 auf ein verbundenes Unternehmen i.S.d. § 15 </w:t>
      </w:r>
      <w:r w:rsidR="006E5C69">
        <w:t>Aktie</w:t>
      </w:r>
      <w:r w:rsidR="006E5C69">
        <w:t>n</w:t>
      </w:r>
      <w:r w:rsidR="006E5C69">
        <w:t>gesetz (</w:t>
      </w:r>
      <w:r w:rsidRPr="00770EAF">
        <w:t>AktG</w:t>
      </w:r>
      <w:r w:rsidR="006E5C69">
        <w:t>)</w:t>
      </w:r>
      <w:r w:rsidRPr="00770EAF">
        <w:t xml:space="preserve"> bedarf nicht der vorherigen Zustimmung, sondern lediglich einer schriftl</w:t>
      </w:r>
      <w:r w:rsidRPr="00770EAF">
        <w:t>i</w:t>
      </w:r>
      <w:r w:rsidRPr="00770EAF">
        <w:t xml:space="preserve">chen Mitteilung an den anderen Vertragspartner. </w:t>
      </w:r>
    </w:p>
    <w:p w:rsidR="00997406" w:rsidRPr="00997406" w:rsidRDefault="00997406" w:rsidP="00997406">
      <w:pPr>
        <w:pStyle w:val="berschrift1"/>
      </w:pPr>
      <w:bookmarkStart w:id="109" w:name="_Toc297207934"/>
      <w:bookmarkStart w:id="110" w:name="_Toc297207945"/>
      <w:bookmarkStart w:id="111" w:name="_Toc476824445"/>
      <w:r w:rsidRPr="00997406">
        <w:t xml:space="preserve">§ </w:t>
      </w:r>
      <w:r>
        <w:t>4</w:t>
      </w:r>
      <w:r w:rsidR="00D333C1">
        <w:t>2</w:t>
      </w:r>
      <w:r w:rsidRPr="00997406">
        <w:t xml:space="preserve"> Ansprechpartner</w:t>
      </w:r>
      <w:bookmarkEnd w:id="109"/>
      <w:bookmarkEnd w:id="111"/>
    </w:p>
    <w:p w:rsidR="00997406" w:rsidRPr="00997406" w:rsidRDefault="00997406" w:rsidP="00997406">
      <w:r w:rsidRPr="00997406">
        <w:t>Die Kontaktdaten der Ansprechpartner beim Marktgebietsverantwortlichen für Fragen zum Vertrag und deren Erreichbarkeit sind auf der Internetseite des Marktgebietsverantwortlichen veröffentlicht.</w:t>
      </w:r>
    </w:p>
    <w:p w:rsidR="00997406" w:rsidRPr="00997406" w:rsidRDefault="00997406" w:rsidP="00997406">
      <w:pPr>
        <w:pStyle w:val="berschrift1"/>
      </w:pPr>
      <w:bookmarkStart w:id="112" w:name="_Toc297207935"/>
      <w:bookmarkStart w:id="113" w:name="_Toc476824446"/>
      <w:r w:rsidRPr="00997406">
        <w:t xml:space="preserve">§ </w:t>
      </w:r>
      <w:r>
        <w:t>4</w:t>
      </w:r>
      <w:r w:rsidR="00D333C1">
        <w:t>3</w:t>
      </w:r>
      <w:r w:rsidRPr="00997406">
        <w:t xml:space="preserve"> Salvatorische Klausel</w:t>
      </w:r>
      <w:bookmarkEnd w:id="112"/>
      <w:bookmarkEnd w:id="113"/>
    </w:p>
    <w:p w:rsidR="00997406" w:rsidRPr="00997406" w:rsidRDefault="00997406" w:rsidP="00997406">
      <w:pPr>
        <w:numPr>
          <w:ilvl w:val="0"/>
          <w:numId w:val="35"/>
        </w:numPr>
      </w:pPr>
      <w:r w:rsidRPr="00997406">
        <w:t>Sollten einzelne Bestimmungen dieses Vertrages oder seiner Anlagen unwirksam oder undurchführbar sein oder werden, so bleiben der Vertrag und die Anlagen im Übrigen davon unberührt.</w:t>
      </w:r>
    </w:p>
    <w:p w:rsidR="00997406" w:rsidRPr="00997406" w:rsidRDefault="00997406" w:rsidP="00997406">
      <w:pPr>
        <w:numPr>
          <w:ilvl w:val="0"/>
          <w:numId w:val="35"/>
        </w:numPr>
      </w:pPr>
      <w:r w:rsidRPr="00997406">
        <w:t>Die Parteien verpflichten sich, die unwirksamen oder undurchführbaren Bestimmungen in einem geeigneten Verfahren durch andere, ihrem wirtschaftlichen Erfolg möglichst gleichkommende Bestimmungen zu ersetzen. Dies gilt entsprechend bei Regelungslü</w:t>
      </w:r>
      <w:r w:rsidRPr="00997406">
        <w:t>c</w:t>
      </w:r>
      <w:r w:rsidRPr="00997406">
        <w:t>ken.</w:t>
      </w:r>
    </w:p>
    <w:p w:rsidR="00CE1213" w:rsidRPr="008E4B5A" w:rsidRDefault="00CE05F9" w:rsidP="00D669AB">
      <w:pPr>
        <w:pStyle w:val="berschrift1"/>
      </w:pPr>
      <w:bookmarkStart w:id="114" w:name="_Toc476824447"/>
      <w:r>
        <w:t>§ 4</w:t>
      </w:r>
      <w:r w:rsidR="00D333C1">
        <w:t>4</w:t>
      </w:r>
      <w:r w:rsidR="00D669AB">
        <w:t xml:space="preserve"> </w:t>
      </w:r>
      <w:r w:rsidR="00CE1213" w:rsidRPr="008E4B5A">
        <w:t>Gerichtsstand und anwendbares Recht</w:t>
      </w:r>
      <w:bookmarkEnd w:id="110"/>
      <w:bookmarkEnd w:id="114"/>
    </w:p>
    <w:p w:rsidR="00E52677" w:rsidRPr="008E4B5A" w:rsidRDefault="00E52677" w:rsidP="00817985">
      <w:pPr>
        <w:numPr>
          <w:ilvl w:val="0"/>
          <w:numId w:val="60"/>
        </w:numPr>
      </w:pPr>
      <w:r w:rsidRPr="008E4B5A">
        <w:t>Es gilt die ordentliche Gerichtsbarkeit.</w:t>
      </w:r>
    </w:p>
    <w:p w:rsidR="003D27DE" w:rsidRDefault="00CE1213" w:rsidP="00817985">
      <w:pPr>
        <w:numPr>
          <w:ilvl w:val="0"/>
          <w:numId w:val="60"/>
        </w:numPr>
      </w:pPr>
      <w:r w:rsidRPr="008E4B5A">
        <w:t>Gerichtsstand ist der Sitz des Marktgebietsverantwortlichen.</w:t>
      </w:r>
    </w:p>
    <w:p w:rsidR="003D27DE" w:rsidRDefault="00CE1213" w:rsidP="00817985">
      <w:pPr>
        <w:numPr>
          <w:ilvl w:val="0"/>
          <w:numId w:val="60"/>
        </w:numPr>
      </w:pPr>
      <w:r w:rsidRPr="008E4B5A">
        <w:t>Es gilt deutsches Recht unter Ausschluss des zwischenstaatlichen Kollisionsrechts, soweit dieses nicht zwingendes Recht ist. UN-Kaufrecht ist ausgeschlossen.</w:t>
      </w:r>
    </w:p>
    <w:p w:rsidR="00C76420" w:rsidRDefault="00D669AB" w:rsidP="00D669AB">
      <w:pPr>
        <w:pStyle w:val="berschrift1"/>
      </w:pPr>
      <w:bookmarkStart w:id="115" w:name="_Toc297207946"/>
      <w:bookmarkStart w:id="116" w:name="_Toc476824448"/>
      <w:r>
        <w:t>§ 4</w:t>
      </w:r>
      <w:r w:rsidR="00D333C1">
        <w:t>5</w:t>
      </w:r>
      <w:bookmarkStart w:id="117" w:name="_GoBack"/>
      <w:bookmarkEnd w:id="117"/>
      <w:r>
        <w:t xml:space="preserve"> </w:t>
      </w:r>
      <w:r w:rsidR="00C76420">
        <w:t>Anlagenverzeichnis</w:t>
      </w:r>
      <w:bookmarkEnd w:id="115"/>
      <w:bookmarkEnd w:id="116"/>
    </w:p>
    <w:p w:rsidR="0097421A" w:rsidRDefault="00257C56" w:rsidP="0097421A">
      <w:r>
        <w:t>Die folgenden Anlagen sind Bestandteil dieses Vertrages:</w:t>
      </w:r>
      <w:r w:rsidR="0097421A" w:rsidRPr="0097421A">
        <w:t xml:space="preserve"> </w:t>
      </w:r>
    </w:p>
    <w:p w:rsidR="0097421A" w:rsidRDefault="0097421A" w:rsidP="0097421A">
      <w:r>
        <w:t>Anlage 1 Begriffsbestimmungen</w:t>
      </w:r>
    </w:p>
    <w:p w:rsidR="0097421A" w:rsidRPr="00734E74" w:rsidRDefault="0097421A" w:rsidP="0097421A">
      <w:r w:rsidRPr="00734E74">
        <w:t>Anlage 2 Zusätzliche Regelungen zur Bilanzierung von Biogas im Marktgebiet</w:t>
      </w:r>
    </w:p>
    <w:p w:rsidR="00257C56" w:rsidRDefault="00257C56" w:rsidP="00C76420"/>
    <w:p w:rsidR="00C76420" w:rsidRPr="00BB0306" w:rsidRDefault="00C76420" w:rsidP="00BB0306">
      <w:pPr>
        <w:rPr>
          <w:b/>
        </w:rPr>
      </w:pPr>
      <w:r>
        <w:br w:type="page"/>
      </w:r>
      <w:r w:rsidR="005D64A5" w:rsidRPr="00BB0306">
        <w:rPr>
          <w:b/>
        </w:rPr>
        <w:t>Anlage 1: Begriffsbestimmungen</w:t>
      </w:r>
    </w:p>
    <w:p w:rsidR="00F32B88" w:rsidRPr="001C70D8" w:rsidRDefault="00F32B88" w:rsidP="00817985">
      <w:pPr>
        <w:numPr>
          <w:ilvl w:val="0"/>
          <w:numId w:val="62"/>
        </w:numPr>
      </w:pPr>
      <w:r w:rsidRPr="001C70D8">
        <w:t>Ausspeisenetzbetreiber</w:t>
      </w:r>
      <w:r>
        <w:br/>
      </w:r>
      <w:r w:rsidRPr="001C70D8">
        <w:t>Netzbetreiber</w:t>
      </w:r>
      <w:r>
        <w:t>,</w:t>
      </w:r>
      <w:r w:rsidRPr="001C70D8">
        <w:t xml:space="preserve"> mi</w:t>
      </w:r>
      <w:r>
        <w:t>t dem der Transportkunde nach § 3 Abs. 1 Satz 1 </w:t>
      </w:r>
      <w:r w:rsidRPr="001C70D8">
        <w:t>GasNZV einen Au</w:t>
      </w:r>
      <w:r w:rsidRPr="001C70D8">
        <w:t>s</w:t>
      </w:r>
      <w:r w:rsidRPr="001C70D8">
        <w:t>speisevertrag</w:t>
      </w:r>
      <w:r>
        <w:t>, auch in Form eines Lieferantenrahmenvertrages,</w:t>
      </w:r>
      <w:r w:rsidRPr="001C70D8">
        <w:t xml:space="preserve"> abschließt. </w:t>
      </w:r>
    </w:p>
    <w:p w:rsidR="003D27DE" w:rsidRDefault="005D64A5" w:rsidP="00817985">
      <w:pPr>
        <w:numPr>
          <w:ilvl w:val="0"/>
          <w:numId w:val="62"/>
        </w:numPr>
      </w:pPr>
      <w:r w:rsidRPr="001C70D8">
        <w:t>Ausspeisepunkt</w:t>
      </w:r>
      <w:r>
        <w:br/>
      </w:r>
      <w:r w:rsidRPr="001C70D8">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w:t>
      </w:r>
      <w:r>
        <w:t>Als Ausspeisepunkt gilt im Fernle</w:t>
      </w:r>
      <w:r>
        <w:t>i</w:t>
      </w:r>
      <w:r>
        <w:t>tungsnetz auch die Zusammenfassung mehrerer Ausspeisepunkte zu einer Zone g</w:t>
      </w:r>
      <w:r>
        <w:t>e</w:t>
      </w:r>
      <w:r>
        <w:t>mäß § 11 Abs. 2 GasNZV.</w:t>
      </w:r>
    </w:p>
    <w:p w:rsidR="003D27DE" w:rsidRDefault="005D64A5" w:rsidP="00817985">
      <w:pPr>
        <w:numPr>
          <w:ilvl w:val="0"/>
          <w:numId w:val="62"/>
        </w:numPr>
      </w:pPr>
      <w:r w:rsidRPr="001C70D8">
        <w:t>Bilanzierungsperiode</w:t>
      </w:r>
      <w:r>
        <w:br/>
      </w:r>
      <w:r w:rsidRPr="001C70D8">
        <w:t xml:space="preserve">Die Bilanzierungsperiode für sämtliche Gasmengen, ausgenommen Biogasmengen in einem Biogas-Bilanzkreis, ist der Gastag. </w:t>
      </w:r>
    </w:p>
    <w:p w:rsidR="003D27DE" w:rsidRDefault="005D64A5" w:rsidP="00817985">
      <w:pPr>
        <w:numPr>
          <w:ilvl w:val="0"/>
          <w:numId w:val="62"/>
        </w:numPr>
      </w:pPr>
      <w:r w:rsidRPr="001C70D8">
        <w:t>Bilanzkreisnummer</w:t>
      </w:r>
      <w:r>
        <w:br/>
      </w:r>
      <w:r w:rsidRPr="001C70D8">
        <w:t>Eindeutige Nummer, die von dem Marktgebietsverantwortlichen an einen Bilanzkreisv</w:t>
      </w:r>
      <w:r w:rsidRPr="001C70D8">
        <w:t>e</w:t>
      </w:r>
      <w:r w:rsidRPr="001C70D8">
        <w:t>rantwortlichen für einen Bilanzkreis vergeben wird und insbesondere der Identifizierung der Nominierungen oder Renominierungen von Gasmengen dient.</w:t>
      </w:r>
    </w:p>
    <w:p w:rsidR="003D27DE" w:rsidRDefault="00B7533C" w:rsidP="00817985">
      <w:pPr>
        <w:numPr>
          <w:ilvl w:val="0"/>
          <w:numId w:val="62"/>
        </w:numPr>
      </w:pPr>
      <w:r w:rsidRPr="001C70D8">
        <w:t>Einspeisenetzbetreiber</w:t>
      </w:r>
      <w:r>
        <w:br/>
      </w:r>
      <w:r w:rsidRPr="001C70D8">
        <w:t>Netzbetreiber, mi</w:t>
      </w:r>
      <w:r>
        <w:t>t dem der Transportkunde nach § 3 Abs. 1 Satz 1 </w:t>
      </w:r>
      <w:r w:rsidRPr="001C70D8">
        <w:t xml:space="preserve">GasNZV einen </w:t>
      </w:r>
      <w:r w:rsidRPr="00395F25">
        <w:t>Ei</w:t>
      </w:r>
      <w:r w:rsidRPr="00395F25">
        <w:t>n</w:t>
      </w:r>
      <w:r w:rsidRPr="00395F25">
        <w:t xml:space="preserve">speisevertrag abschließt. </w:t>
      </w:r>
    </w:p>
    <w:p w:rsidR="003D27DE" w:rsidRDefault="005D64A5" w:rsidP="00817985">
      <w:pPr>
        <w:numPr>
          <w:ilvl w:val="0"/>
          <w:numId w:val="62"/>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Produktionsa</w:t>
      </w:r>
      <w:r w:rsidRPr="001C70D8">
        <w:t>n</w:t>
      </w:r>
      <w:r w:rsidRPr="001C70D8">
        <w:t xml:space="preserve">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rsidR="003D27DE" w:rsidRDefault="005D64A5" w:rsidP="00817985">
      <w:pPr>
        <w:numPr>
          <w:ilvl w:val="0"/>
          <w:numId w:val="62"/>
        </w:numPr>
      </w:pPr>
      <w:r w:rsidRPr="001C70D8">
        <w:t>Externe Regelenergie</w:t>
      </w:r>
      <w:r>
        <w:br/>
        <w:t>die in § 27 Abs. 2 </w:t>
      </w:r>
      <w:r w:rsidRPr="001C70D8">
        <w:t>GasNZV beschriebene Regelenergie</w:t>
      </w:r>
      <w:r>
        <w:t>.</w:t>
      </w:r>
    </w:p>
    <w:p w:rsidR="003D27DE" w:rsidRDefault="005D64A5" w:rsidP="00817985">
      <w:pPr>
        <w:numPr>
          <w:ilvl w:val="0"/>
          <w:numId w:val="62"/>
        </w:numPr>
      </w:pPr>
      <w:r>
        <w:t>G</w:t>
      </w:r>
      <w:r w:rsidR="005923FB">
        <w:t>a</w:t>
      </w:r>
      <w:r>
        <w:t xml:space="preserve">Bi </w:t>
      </w:r>
      <w:r w:rsidRPr="00807C1A">
        <w:t>Gas</w:t>
      </w:r>
      <w:r w:rsidR="00465690" w:rsidRPr="00807C1A">
        <w:t xml:space="preserve"> 2.0</w:t>
      </w:r>
      <w:r>
        <w:br/>
      </w:r>
      <w:r w:rsidRPr="00807C1A">
        <w:t xml:space="preserve">Festlegung der Bundesnetzagentur in Sachen </w:t>
      </w:r>
      <w:r w:rsidR="005923FB">
        <w:t xml:space="preserve"> Bilanzierung </w:t>
      </w:r>
      <w:r w:rsidRPr="00807C1A">
        <w:t>Gas (</w:t>
      </w:r>
      <w:r w:rsidR="00807C1A" w:rsidRPr="00807C1A">
        <w:t>Az. BK7-14-020</w:t>
      </w:r>
      <w:r w:rsidRPr="00807C1A">
        <w:t>) vom</w:t>
      </w:r>
      <w:r w:rsidRPr="00B55ABF">
        <w:t xml:space="preserve"> </w:t>
      </w:r>
      <w:r w:rsidR="00807C1A">
        <w:t>19. Dezember</w:t>
      </w:r>
      <w:r w:rsidRPr="00B55ABF">
        <w:t xml:space="preserve"> 20</w:t>
      </w:r>
      <w:r w:rsidR="00807C1A">
        <w:t>14</w:t>
      </w:r>
      <w:r>
        <w:t>.</w:t>
      </w:r>
      <w:r w:rsidRPr="00B55ABF">
        <w:t xml:space="preserve"> </w:t>
      </w:r>
    </w:p>
    <w:p w:rsidR="003D27DE" w:rsidRDefault="005D64A5" w:rsidP="00817985">
      <w:pPr>
        <w:numPr>
          <w:ilvl w:val="0"/>
          <w:numId w:val="62"/>
        </w:numPr>
      </w:pPr>
      <w:r w:rsidRPr="001C70D8">
        <w:t>Gaswirtschaftsjahr</w:t>
      </w:r>
      <w:r>
        <w:br/>
        <w:t>Der Zeitraum vom 1. Oktober, 06:00 </w:t>
      </w:r>
      <w:r w:rsidRPr="001C70D8">
        <w:t xml:space="preserve">Uhr, </w:t>
      </w:r>
      <w:r>
        <w:t>eines Kalenderjahres bis zum 1. Oktober, 06:00 </w:t>
      </w:r>
      <w:r w:rsidRPr="001C70D8">
        <w:t>Uhr, des folgenden Kalenderjahres.</w:t>
      </w:r>
    </w:p>
    <w:p w:rsidR="003D27DE" w:rsidRDefault="005D64A5" w:rsidP="00817985">
      <w:pPr>
        <w:numPr>
          <w:ilvl w:val="0"/>
          <w:numId w:val="62"/>
        </w:numPr>
      </w:pPr>
      <w:r w:rsidRPr="001C70D8">
        <w:t>GeLi Gas</w:t>
      </w:r>
      <w:r>
        <w:br/>
      </w:r>
      <w:r w:rsidRPr="001C70D8">
        <w:t xml:space="preserve">Festlegung einheitlicher Geschäftsprozesse und Datenformate </w:t>
      </w:r>
      <w:r>
        <w:t xml:space="preserve">der Bundesnetzagentur </w:t>
      </w:r>
      <w:r w:rsidRPr="001C70D8">
        <w:t>(Az. BK7-06-067)</w:t>
      </w:r>
      <w:r>
        <w:t xml:space="preserve"> </w:t>
      </w:r>
      <w:r w:rsidRPr="001C70D8">
        <w:t>vom 20.</w:t>
      </w:r>
      <w:r>
        <w:t xml:space="preserve"> August </w:t>
      </w:r>
      <w:r w:rsidRPr="001C70D8">
        <w:t>2007</w:t>
      </w:r>
      <w:r w:rsidR="00876BE7">
        <w:t xml:space="preserve"> </w:t>
      </w:r>
      <w:r w:rsidR="00876BE7" w:rsidRPr="00AB79A4">
        <w:t>oder einer diese Festlegung ersetzende oder ergänzende Festlegung der Bundesnetzagentur</w:t>
      </w:r>
      <w:r>
        <w:t>.</w:t>
      </w:r>
      <w:r w:rsidRPr="001C70D8">
        <w:t xml:space="preserve"> </w:t>
      </w:r>
    </w:p>
    <w:p w:rsidR="003D27DE" w:rsidRDefault="005D64A5" w:rsidP="00817985">
      <w:pPr>
        <w:numPr>
          <w:ilvl w:val="0"/>
          <w:numId w:val="62"/>
        </w:numPr>
      </w:pPr>
      <w:r w:rsidRPr="001C70D8">
        <w:t>Mini-MüT</w:t>
      </w:r>
      <w:r>
        <w:br/>
      </w:r>
      <w:r w:rsidRPr="001C70D8">
        <w:t>Die Übertragung von Gasmengen des jeweiligen Transportkunden zwischen Bilanzkre</w:t>
      </w:r>
      <w:r w:rsidRPr="001C70D8">
        <w:t>i</w:t>
      </w:r>
      <w:r w:rsidRPr="001C70D8">
        <w:t>sen unterschiedlicher Marktgebiete im Ausspeisenetz.</w:t>
      </w:r>
    </w:p>
    <w:p w:rsidR="003D27DE" w:rsidRDefault="005D64A5" w:rsidP="00817985">
      <w:pPr>
        <w:numPr>
          <w:ilvl w:val="0"/>
          <w:numId w:val="62"/>
        </w:numPr>
      </w:pPr>
      <w:r w:rsidRPr="00106EE4">
        <w:t xml:space="preserve">Monat </w:t>
      </w:r>
      <w:r>
        <w:t>M</w:t>
      </w:r>
      <w:r>
        <w:br/>
        <w:t>Monat M ist der Liefermonat.</w:t>
      </w:r>
      <w:r w:rsidRPr="001C70D8">
        <w:t xml:space="preserve"> </w:t>
      </w:r>
      <w:r w:rsidR="009C33F5" w:rsidRPr="00243ED4">
        <w:rPr>
          <w:bCs/>
        </w:rPr>
        <w:t>Der Liefermonat umfasst den Zeitraum vom 1. Tag 06:00 Uhr des Liefermonats bis zum 1. Tag 06:00 Uhr des Folgemonats.</w:t>
      </w:r>
    </w:p>
    <w:p w:rsidR="003D27DE" w:rsidRDefault="005D64A5" w:rsidP="00817985">
      <w:pPr>
        <w:numPr>
          <w:ilvl w:val="0"/>
          <w:numId w:val="62"/>
        </w:numPr>
      </w:pPr>
      <w:r w:rsidRPr="001C70D8">
        <w:t>Sub-Bilanzkonto</w:t>
      </w:r>
      <w:r>
        <w:br/>
        <w:t>Das Sub-Bilanzkonto ist ein Konto, das einem Bilanzkreis zugeordnet ist und die Z</w:t>
      </w:r>
      <w:r>
        <w:t>u</w:t>
      </w:r>
      <w:r>
        <w:t>ordnung von Ein- und Ausspeisemengen zu Transportkunden und/oder die übersichtl</w:t>
      </w:r>
      <w:r>
        <w:t>i</w:t>
      </w:r>
      <w:r>
        <w:t>che Darstellung von Teilmengen ermöglicht.</w:t>
      </w:r>
    </w:p>
    <w:p w:rsidR="003D27DE" w:rsidRDefault="005D64A5" w:rsidP="00817985">
      <w:pPr>
        <w:numPr>
          <w:ilvl w:val="0"/>
          <w:numId w:val="62"/>
        </w:numPr>
      </w:pPr>
      <w:r w:rsidRPr="001C70D8">
        <w:t>Tag D</w:t>
      </w:r>
      <w:r>
        <w:br/>
        <w:t>Tag D ist der Liefertag</w:t>
      </w:r>
      <w:r w:rsidR="009C33F5" w:rsidRPr="00243ED4">
        <w:t>, welcher um 06:00 Uhr beginnt und um 06:00 Uhr des folgenden Tages endet</w:t>
      </w:r>
      <w:r>
        <w:t>.</w:t>
      </w:r>
    </w:p>
    <w:p w:rsidR="003D27DE" w:rsidRDefault="005D64A5" w:rsidP="00817985">
      <w:pPr>
        <w:numPr>
          <w:ilvl w:val="0"/>
          <w:numId w:val="62"/>
        </w:numPr>
      </w:pPr>
      <w:r w:rsidRPr="009D62BD">
        <w:t>Virtueller Ausspeisepunkt</w:t>
      </w:r>
      <w:r w:rsidRPr="009D62BD">
        <w:br/>
        <w:t>Ein nicht zu buchender Ausspeisepunkt eines Bilanzkreises über den Gas in einen a</w:t>
      </w:r>
      <w:r w:rsidRPr="009D62BD">
        <w:t>n</w:t>
      </w:r>
      <w:r w:rsidRPr="009D62BD">
        <w:t>deren Bilanzkreis übertragen werden kann.</w:t>
      </w:r>
    </w:p>
    <w:p w:rsidR="003D27DE" w:rsidRDefault="005D64A5" w:rsidP="00817985">
      <w:pPr>
        <w:numPr>
          <w:ilvl w:val="0"/>
          <w:numId w:val="62"/>
        </w:numPr>
      </w:pPr>
      <w:r w:rsidRPr="009D62BD">
        <w:t>Virtueller Einspeisepunkt</w:t>
      </w:r>
      <w:r w:rsidRPr="009D62BD">
        <w:br/>
        <w:t>Ein nicht zu buchender Einspeisepunkt</w:t>
      </w:r>
      <w:r w:rsidRPr="001C70D8">
        <w:t xml:space="preserve"> eines Bilanzkreises über den Gas aus einem anderen Bilanzkreis übertragen werden kann.</w:t>
      </w:r>
    </w:p>
    <w:p w:rsidR="003D27DE" w:rsidRDefault="005D64A5" w:rsidP="00817985">
      <w:pPr>
        <w:numPr>
          <w:ilvl w:val="0"/>
          <w:numId w:val="62"/>
        </w:numPr>
      </w:pPr>
      <w:r w:rsidRPr="001C70D8">
        <w:t>Vorhalteleistung</w:t>
      </w:r>
      <w:r>
        <w:br/>
      </w:r>
      <w:r w:rsidRPr="001C70D8">
        <w:t xml:space="preserve">Die an einem Ein- oder Ausspeisepunkt eines Verteilernetzes </w:t>
      </w:r>
      <w:r>
        <w:t>mit Netzpartizipation</w:t>
      </w:r>
      <w:r>
        <w:t>s</w:t>
      </w:r>
      <w:r>
        <w:t xml:space="preserve">modell </w:t>
      </w:r>
      <w:r w:rsidRPr="001C70D8">
        <w:t>festgelegte, maximal mögliche Leistungsinanspruchnahme im Auslegungsz</w:t>
      </w:r>
      <w:r w:rsidRPr="001C70D8">
        <w:t>u</w:t>
      </w:r>
      <w:r w:rsidRPr="001C70D8">
        <w:t>stand des Netzes.</w:t>
      </w:r>
    </w:p>
    <w:p w:rsidR="003D27DE" w:rsidRDefault="005D64A5" w:rsidP="00817985">
      <w:pPr>
        <w:numPr>
          <w:ilvl w:val="0"/>
          <w:numId w:val="62"/>
        </w:numPr>
      </w:pPr>
      <w:r>
        <w:t>Werktage</w:t>
      </w:r>
      <w:r>
        <w:br/>
      </w:r>
      <w:r w:rsidRPr="003F1013">
        <w:t>Abweichend von der Definition in § 2 Nr. 1</w:t>
      </w:r>
      <w:r>
        <w:t>6</w:t>
      </w:r>
      <w:r w:rsidRPr="003F1013">
        <w:t xml:space="preserve"> GasNZV sind im Folgenden unter Werkt</w:t>
      </w:r>
      <w:r w:rsidRPr="003F1013">
        <w:t>a</w:t>
      </w:r>
      <w:r w:rsidRPr="003F1013">
        <w:t>gen für die Fristenregelung alle T</w:t>
      </w:r>
      <w:r>
        <w:t>age zu verstehen, die kein Sonn</w:t>
      </w:r>
      <w:r w:rsidRPr="003F1013">
        <w:t>abend, Sonntag oder gesetzlicher Feiertag sind. Wenn in einem Bundesland ein Tag als Feiertag ausgewi</w:t>
      </w:r>
      <w:r w:rsidRPr="003F1013">
        <w:t>e</w:t>
      </w:r>
      <w:r w:rsidRPr="003F1013">
        <w:t>sen wird, gilt dieser Tag bundesweit als Fei</w:t>
      </w:r>
      <w:r>
        <w:t>er</w:t>
      </w:r>
      <w:r w:rsidRPr="003F1013">
        <w:t>tag. Der 24. Dezember und der 31. D</w:t>
      </w:r>
      <w:r w:rsidRPr="003F1013">
        <w:t>e</w:t>
      </w:r>
      <w:r w:rsidRPr="003F1013">
        <w:t>zember eines jeden Jahres gelten als Feiertage.</w:t>
      </w:r>
    </w:p>
    <w:p w:rsidR="00CE1213" w:rsidRPr="00BB0306" w:rsidRDefault="00CE1213" w:rsidP="00BB0306">
      <w:pPr>
        <w:rPr>
          <w:b/>
          <w:i/>
          <w:u w:val="single"/>
        </w:rPr>
      </w:pPr>
      <w:r>
        <w:br w:type="page"/>
      </w:r>
      <w:r w:rsidRPr="00BB0306">
        <w:rPr>
          <w:b/>
          <w:i/>
        </w:rPr>
        <w:t>Anlage</w:t>
      </w:r>
      <w:r w:rsidR="00C76420" w:rsidRPr="00BB0306">
        <w:rPr>
          <w:b/>
          <w:i/>
        </w:rPr>
        <w:t xml:space="preserve"> 2</w:t>
      </w:r>
      <w:r w:rsidRPr="00BB0306">
        <w:rPr>
          <w:b/>
          <w:i/>
        </w:rPr>
        <w:t xml:space="preserve"> zu den „</w:t>
      </w:r>
      <w:r w:rsidR="005C348F" w:rsidRPr="00BB0306">
        <w:rPr>
          <w:b/>
          <w:i/>
        </w:rPr>
        <w:t>Geschäftsb</w:t>
      </w:r>
      <w:r w:rsidRPr="00BB0306">
        <w:rPr>
          <w:b/>
          <w:i/>
        </w:rPr>
        <w:t>edingungen für den Bilanzkreisvertrag“</w:t>
      </w:r>
    </w:p>
    <w:p w:rsidR="00CE1213" w:rsidRPr="00407E4F" w:rsidRDefault="00CE1213" w:rsidP="00D4630B">
      <w:pPr>
        <w:pStyle w:val="berschrift1"/>
      </w:pPr>
      <w:bookmarkStart w:id="118" w:name="_Toc297207947"/>
      <w:bookmarkStart w:id="119" w:name="_Toc414966574"/>
      <w:bookmarkStart w:id="120" w:name="_Toc414966700"/>
      <w:bookmarkStart w:id="121" w:name="_Toc415133646"/>
      <w:bookmarkStart w:id="122" w:name="_Toc476824449"/>
      <w:r w:rsidRPr="00407E4F">
        <w:t>Zusätzliche Regelungen zur Bilanzierung von Biogas im Marktgebiet</w:t>
      </w:r>
      <w:bookmarkEnd w:id="118"/>
      <w:bookmarkEnd w:id="119"/>
      <w:bookmarkEnd w:id="120"/>
      <w:bookmarkEnd w:id="121"/>
      <w:bookmarkEnd w:id="122"/>
    </w:p>
    <w:p w:rsidR="003D27DE" w:rsidRDefault="00CE1213" w:rsidP="00817985">
      <w:pPr>
        <w:pStyle w:val="Gliederung1"/>
        <w:numPr>
          <w:ilvl w:val="0"/>
          <w:numId w:val="50"/>
        </w:numPr>
      </w:pPr>
      <w:bookmarkStart w:id="123" w:name="_Toc297207948"/>
      <w:r>
        <w:t>Gegenstand des Vertrages</w:t>
      </w:r>
      <w:bookmarkEnd w:id="123"/>
      <w:r>
        <w:t xml:space="preserve"> </w:t>
      </w:r>
    </w:p>
    <w:p w:rsidR="00897A78" w:rsidRDefault="00CE1213" w:rsidP="00897A78">
      <w:r>
        <w:t>Gegenstand dieser Vereinbarung ist der erweiterte Bilanzausgleich für die Ein- und Ausspe</w:t>
      </w:r>
      <w:r>
        <w:t>i</w:t>
      </w:r>
      <w:r>
        <w:t xml:space="preserve">sung von Biogas nach § 35 GasNZV. </w:t>
      </w:r>
      <w:bookmarkStart w:id="124" w:name="_Toc297207949"/>
    </w:p>
    <w:p w:rsidR="003D27DE" w:rsidRDefault="00CE1213" w:rsidP="00817985">
      <w:pPr>
        <w:pStyle w:val="Gliederung1"/>
        <w:numPr>
          <w:ilvl w:val="0"/>
          <w:numId w:val="50"/>
        </w:numPr>
      </w:pPr>
      <w:r>
        <w:t>Vertragsbestandteile</w:t>
      </w:r>
      <w:bookmarkEnd w:id="124"/>
      <w:r>
        <w:t xml:space="preserve"> </w:t>
      </w:r>
    </w:p>
    <w:p w:rsidR="003D27DE" w:rsidRDefault="00CE1213" w:rsidP="00817985">
      <w:pPr>
        <w:numPr>
          <w:ilvl w:val="0"/>
          <w:numId w:val="44"/>
        </w:numPr>
      </w:pPr>
      <w:r>
        <w:t>Voraussetzung für den Abschluss de</w:t>
      </w:r>
      <w:r w:rsidR="0019681F">
        <w:t>s</w:t>
      </w:r>
      <w:r>
        <w:t xml:space="preserve"> </w:t>
      </w:r>
      <w:r w:rsidR="0019681F">
        <w:t>Biogas-</w:t>
      </w:r>
      <w:r>
        <w:t>Bilanz</w:t>
      </w:r>
      <w:r w:rsidR="0019681F">
        <w:t>kreisvertrages</w:t>
      </w:r>
      <w:r>
        <w:t xml:space="preserve"> ist </w:t>
      </w:r>
      <w:r w:rsidR="00794FF1">
        <w:t xml:space="preserve">der Abschluss </w:t>
      </w:r>
      <w:r>
        <w:t>eines allgemeinen Bilanzkreisvertrages im entsprechenden Marktgebiet, dessen B</w:t>
      </w:r>
      <w:r>
        <w:t>e</w:t>
      </w:r>
      <w:r>
        <w:t xml:space="preserve">stimmungen durch die im Folgenden aufgeführten </w:t>
      </w:r>
      <w:r w:rsidR="0019681F">
        <w:t xml:space="preserve">zusätzlichen </w:t>
      </w:r>
      <w:r>
        <w:t xml:space="preserve">Regelungen für die </w:t>
      </w:r>
      <w:r w:rsidRPr="00770EAF">
        <w:t>B</w:t>
      </w:r>
      <w:r w:rsidRPr="00770EAF">
        <w:t>i</w:t>
      </w:r>
      <w:r w:rsidRPr="00770EAF">
        <w:t xml:space="preserve">lanzierung </w:t>
      </w:r>
      <w:r w:rsidR="0019681F" w:rsidRPr="00770EAF">
        <w:t xml:space="preserve">von Biogas </w:t>
      </w:r>
      <w:r w:rsidRPr="00770EAF">
        <w:t xml:space="preserve">ergänzt werden. </w:t>
      </w:r>
    </w:p>
    <w:p w:rsidR="003D27DE" w:rsidRDefault="00CE1213" w:rsidP="00817985">
      <w:pPr>
        <w:numPr>
          <w:ilvl w:val="0"/>
          <w:numId w:val="44"/>
        </w:numPr>
      </w:pPr>
      <w:r w:rsidRPr="00770EAF">
        <w:t xml:space="preserve">Mit dem Abschluss dieser Vereinbarung auf Grundlage der vorliegenden zusätzlichen Regelungen zur Bilanzierung </w:t>
      </w:r>
      <w:r w:rsidR="0019681F" w:rsidRPr="00770EAF">
        <w:t xml:space="preserve">von Biogas </w:t>
      </w:r>
      <w:r w:rsidRPr="00770EAF">
        <w:t>finden die folgenden Bestimmungen des al</w:t>
      </w:r>
      <w:r w:rsidRPr="00770EAF">
        <w:t>l</w:t>
      </w:r>
      <w:r w:rsidRPr="004E396F">
        <w:t>gemeinen Bilanzkreisvertrages keine Anwendung:</w:t>
      </w:r>
    </w:p>
    <w:p w:rsidR="003D27DE" w:rsidRDefault="00A02269" w:rsidP="00817985">
      <w:pPr>
        <w:pStyle w:val="BulletPGL2"/>
        <w:numPr>
          <w:ilvl w:val="0"/>
          <w:numId w:val="69"/>
        </w:numPr>
        <w:tabs>
          <w:tab w:val="left" w:pos="993"/>
        </w:tabs>
        <w:ind w:left="993" w:hanging="426"/>
      </w:pPr>
      <w:r w:rsidRPr="00A02269">
        <w:t xml:space="preserve">§ </w:t>
      </w:r>
      <w:r w:rsidR="0097421A">
        <w:t>20</w:t>
      </w:r>
      <w:r w:rsidRPr="00A02269">
        <w:t xml:space="preserve"> Ziffer 2 (Ermittlung der abzurechnenden Konvertierungsmenge),</w:t>
      </w:r>
    </w:p>
    <w:p w:rsidR="003D27DE" w:rsidRDefault="00A02269" w:rsidP="00817985">
      <w:pPr>
        <w:pStyle w:val="BulletPGL2"/>
        <w:numPr>
          <w:ilvl w:val="0"/>
          <w:numId w:val="69"/>
        </w:numPr>
        <w:tabs>
          <w:tab w:val="left" w:pos="993"/>
        </w:tabs>
        <w:ind w:left="993" w:hanging="426"/>
      </w:pPr>
      <w:r w:rsidRPr="00A02269">
        <w:t xml:space="preserve">§ </w:t>
      </w:r>
      <w:r w:rsidR="0097421A">
        <w:t>4</w:t>
      </w:r>
      <w:r w:rsidRPr="00A02269">
        <w:t xml:space="preserve"> Ziffer 1 (Tagesbilanzierung),</w:t>
      </w:r>
    </w:p>
    <w:p w:rsidR="003D27DE" w:rsidRDefault="00A02269" w:rsidP="00817985">
      <w:pPr>
        <w:pStyle w:val="BulletPGL2"/>
        <w:numPr>
          <w:ilvl w:val="0"/>
          <w:numId w:val="69"/>
        </w:numPr>
        <w:tabs>
          <w:tab w:val="left" w:pos="993"/>
        </w:tabs>
        <w:ind w:left="993" w:hanging="426"/>
      </w:pPr>
      <w:r w:rsidRPr="00A02269">
        <w:t xml:space="preserve">§ </w:t>
      </w:r>
      <w:r w:rsidR="0097421A">
        <w:t>14</w:t>
      </w:r>
      <w:r w:rsidRPr="00A02269">
        <w:t xml:space="preserve"> Ziffer 1</w:t>
      </w:r>
      <w:r w:rsidR="00737084">
        <w:t>, 3, 6</w:t>
      </w:r>
      <w:r w:rsidRPr="00A02269">
        <w:t xml:space="preserve"> (Ausgleichsenergiemengen),</w:t>
      </w:r>
    </w:p>
    <w:p w:rsidR="003D27DE" w:rsidRDefault="00A02269" w:rsidP="00817985">
      <w:pPr>
        <w:pStyle w:val="BulletPGL2"/>
        <w:numPr>
          <w:ilvl w:val="0"/>
          <w:numId w:val="69"/>
        </w:numPr>
        <w:tabs>
          <w:tab w:val="left" w:pos="993"/>
        </w:tabs>
        <w:ind w:left="993" w:hanging="426"/>
      </w:pPr>
      <w:r w:rsidRPr="00A02269">
        <w:t xml:space="preserve">§ </w:t>
      </w:r>
      <w:r w:rsidR="0097421A">
        <w:t>6</w:t>
      </w:r>
      <w:r w:rsidRPr="00A02269">
        <w:t xml:space="preserve"> (</w:t>
      </w:r>
      <w:r w:rsidR="0097421A">
        <w:t>untertägige Verpflichtungen</w:t>
      </w:r>
      <w:r w:rsidRPr="00A02269">
        <w:t>),</w:t>
      </w:r>
    </w:p>
    <w:p w:rsidR="003D27DE" w:rsidRDefault="00B33C1A" w:rsidP="00817985">
      <w:pPr>
        <w:pStyle w:val="BulletPGL2"/>
        <w:numPr>
          <w:ilvl w:val="0"/>
          <w:numId w:val="69"/>
        </w:numPr>
        <w:tabs>
          <w:tab w:val="left" w:pos="993"/>
        </w:tabs>
        <w:ind w:left="993" w:hanging="426"/>
      </w:pPr>
      <w:r>
        <w:t xml:space="preserve">§ </w:t>
      </w:r>
      <w:r w:rsidR="0097421A">
        <w:t>15</w:t>
      </w:r>
      <w:r>
        <w:t xml:space="preserve"> (Differenzmengenabrechnung)</w:t>
      </w:r>
      <w:r w:rsidR="00966825">
        <w:t>.</w:t>
      </w:r>
    </w:p>
    <w:p w:rsidR="00CE1213" w:rsidRDefault="005B6FF3" w:rsidP="009A72BF">
      <w:pPr>
        <w:ind w:left="567"/>
      </w:pPr>
      <w:r w:rsidRPr="00770EAF">
        <w:t>Dies gilt auch, soweit in anderen Bestimmungen des allgemeinen Bilanzkreisvertrages auf diese Regelungen Bezug</w:t>
      </w:r>
      <w:r>
        <w:t xml:space="preserve"> genommen wird</w:t>
      </w:r>
      <w:r w:rsidR="00CE1213">
        <w:t xml:space="preserve">. </w:t>
      </w:r>
    </w:p>
    <w:p w:rsidR="00D317A3" w:rsidRDefault="00D317A3" w:rsidP="00817985">
      <w:pPr>
        <w:numPr>
          <w:ilvl w:val="0"/>
          <w:numId w:val="44"/>
        </w:numPr>
      </w:pPr>
      <w:r>
        <w:t xml:space="preserve">Abweichend von § </w:t>
      </w:r>
      <w:r w:rsidR="00BE071F">
        <w:t>29</w:t>
      </w:r>
      <w:r>
        <w:t xml:space="preserve"> Ziffer 6 </w:t>
      </w:r>
      <w:r w:rsidR="00BE071F">
        <w:t xml:space="preserve">und § 30 Ziffer 3 </w:t>
      </w:r>
      <w:r>
        <w:t xml:space="preserve">des allgemeinen Bilanzkreisvertrages wird die Höhe der Sicherheitsleistungen </w:t>
      </w:r>
      <w:r w:rsidR="00BE071F">
        <w:t xml:space="preserve">bzw. Vorauszahlungen </w:t>
      </w:r>
      <w:r>
        <w:t>bei Biogas-Bilanzkreisverträgen wie folgt berechnet:</w:t>
      </w:r>
      <w:r>
        <w:br/>
      </w:r>
      <w:r w:rsidRPr="009A72BF">
        <w:t>Für neu abgeschlossene Biogas-Bilanzkreisverträge und den Fall, dass noch kein B</w:t>
      </w:r>
      <w:r w:rsidRPr="009A72BF">
        <w:t>i</w:t>
      </w:r>
      <w:r w:rsidRPr="009A72BF">
        <w:t>lanzierungszeitraum abgerechnet ist, beträgt die Höhe der Sicherheitsleistung 10.000,-</w:t>
      </w:r>
      <w:r>
        <w:t>€</w:t>
      </w:r>
      <w:r w:rsidRPr="009A72BF">
        <w:t>. Wenn schon ein Bilanzierungszeitraum abgerechnet wurde</w:t>
      </w:r>
      <w:r>
        <w:t>,</w:t>
      </w:r>
      <w:r w:rsidRPr="009A72BF">
        <w:t xml:space="preserve"> ergibt sich die Höhe der Sicherheitsleistung aus der zweifachen Forderungshöhe aus den Bilanzkreisabrec</w:t>
      </w:r>
      <w:r w:rsidRPr="009A72BF">
        <w:t>h</w:t>
      </w:r>
      <w:r w:rsidRPr="009A72BF">
        <w:t>nungen des letzten abgerechneten Biogas-Bilanzierungszeitraum</w:t>
      </w:r>
      <w:r>
        <w:t>s</w:t>
      </w:r>
      <w:r w:rsidRPr="009A72BF">
        <w:t xml:space="preserve"> </w:t>
      </w:r>
      <w:r w:rsidR="00BE071F">
        <w:t>zuzüglich der in di</w:t>
      </w:r>
      <w:r w:rsidR="00BE071F">
        <w:t>e</w:t>
      </w:r>
      <w:r w:rsidR="00BE071F">
        <w:t xml:space="preserve">sem Zeitraum unterjährig erfolgten Bilanzierungsumlagenabrechnungen </w:t>
      </w:r>
      <w:r w:rsidRPr="009A72BF">
        <w:t>gegenüber dem betreffenden Bilanzkreisverantwortlichen. Der Marktgebietsverantwortliche kann die Höhe der Sicherheitsleistung auf die voraussichtliche Forderungshöhe aufgrund der abzurechnenden Menge seit der letzten Abrechnung bis zum Zeitpunkt der Anforderung der Sicherheitsleistung anpassen</w:t>
      </w:r>
      <w:r>
        <w:t>.</w:t>
      </w:r>
    </w:p>
    <w:p w:rsidR="003D27DE" w:rsidRDefault="00CE1213" w:rsidP="00817985">
      <w:pPr>
        <w:numPr>
          <w:ilvl w:val="0"/>
          <w:numId w:val="44"/>
        </w:numPr>
      </w:pPr>
      <w:r>
        <w:t>Die übrigen Bestimmungen des allgemeinen Bilanzkreisvertrages gelten auch für die Biogas-Bilanzierung, mit der Maßgabe, dass sich die darin enthaltenen Regelungen mit dem Abschluss dieser Vereinbarung ausschließlich auf die Bilanzierung von Biogas b</w:t>
      </w:r>
      <w:r>
        <w:t>e</w:t>
      </w:r>
      <w:r>
        <w:t xml:space="preserve">ziehen. </w:t>
      </w:r>
    </w:p>
    <w:p w:rsidR="003D27DE" w:rsidRDefault="00CE1213" w:rsidP="00817985">
      <w:pPr>
        <w:numPr>
          <w:ilvl w:val="0"/>
          <w:numId w:val="44"/>
        </w:numPr>
      </w:pPr>
      <w:r>
        <w:t>Sollten einzelne der folgenden Regelungen den Bestimmungen des allgemeinen B</w:t>
      </w:r>
      <w:r>
        <w:t>i</w:t>
      </w:r>
      <w:r>
        <w:t>lanzkreisvertrages oder dessen ergänzenden Geschäftsbedingungen widersprechen, so haben die Regelungen für die Biogas-Bilanzierung Vorrang.</w:t>
      </w:r>
    </w:p>
    <w:p w:rsidR="003D27DE" w:rsidRDefault="00CE1213" w:rsidP="00817985">
      <w:pPr>
        <w:pStyle w:val="Gliederung1"/>
        <w:numPr>
          <w:ilvl w:val="0"/>
          <w:numId w:val="50"/>
        </w:numPr>
      </w:pPr>
      <w:bookmarkStart w:id="125" w:name="_Toc297207950"/>
      <w:r>
        <w:t>Online Vertragsabschluss</w:t>
      </w:r>
      <w:bookmarkEnd w:id="125"/>
      <w:r>
        <w:t xml:space="preserve"> </w:t>
      </w:r>
    </w:p>
    <w:p w:rsidR="003D27DE" w:rsidRDefault="00CE1213" w:rsidP="00817985">
      <w:pPr>
        <w:numPr>
          <w:ilvl w:val="0"/>
          <w:numId w:val="45"/>
        </w:numPr>
      </w:pPr>
      <w:r>
        <w:t xml:space="preserve">Der Abschluss dieser Vereinbarung </w:t>
      </w:r>
      <w:r w:rsidRPr="00770EAF">
        <w:t>erfolgt elektronisch, zusätzlich zu dem allgemeinen Bilanzkreisvertrag, nach Maßgabe der d</w:t>
      </w:r>
      <w:r w:rsidR="00770EAF">
        <w:t xml:space="preserve">ort in § 3 </w:t>
      </w:r>
      <w:r w:rsidRPr="00770EAF">
        <w:t>geregelten Vorgaben zum Vertrag</w:t>
      </w:r>
      <w:r w:rsidRPr="00770EAF">
        <w:t>s</w:t>
      </w:r>
      <w:r w:rsidRPr="00770EAF">
        <w:t xml:space="preserve">abschluss. </w:t>
      </w:r>
    </w:p>
    <w:p w:rsidR="003D27DE" w:rsidRDefault="00730BC6" w:rsidP="00817985">
      <w:pPr>
        <w:numPr>
          <w:ilvl w:val="0"/>
          <w:numId w:val="45"/>
        </w:numPr>
      </w:pPr>
      <w:r>
        <w:t>Bereits b</w:t>
      </w:r>
      <w:r w:rsidR="00D5062A">
        <w:t>ei Abschluss des Bilanzkreisvertrages ist anzugeben, ob es sich um einen Biogas-Bilanzkr</w:t>
      </w:r>
      <w:r w:rsidR="0095051B">
        <w:t>ei</w:t>
      </w:r>
      <w:r w:rsidR="00D5062A">
        <w:t xml:space="preserve">svertrag handelt. </w:t>
      </w:r>
      <w:r w:rsidR="00765AB1">
        <w:t xml:space="preserve">Eine Einbeziehung dieser Anlage in einen bereits bestehenden </w:t>
      </w:r>
      <w:r>
        <w:t xml:space="preserve">allgemeinen </w:t>
      </w:r>
      <w:r w:rsidR="00765AB1">
        <w:t xml:space="preserve">Bilanzkreisvertrag ist ausgeschlossen. </w:t>
      </w:r>
    </w:p>
    <w:p w:rsidR="003D27DE" w:rsidRDefault="00CE1213" w:rsidP="00817985">
      <w:pPr>
        <w:pStyle w:val="Gliederung1"/>
        <w:numPr>
          <w:ilvl w:val="0"/>
          <w:numId w:val="50"/>
        </w:numPr>
      </w:pPr>
      <w:bookmarkStart w:id="126" w:name="_Toc297207951"/>
      <w:r>
        <w:t>Bilanzierung von Biogas</w:t>
      </w:r>
      <w:bookmarkEnd w:id="126"/>
      <w:r>
        <w:t xml:space="preserve"> </w:t>
      </w:r>
    </w:p>
    <w:p w:rsidR="003D27DE" w:rsidRDefault="00CE1213" w:rsidP="00817985">
      <w:pPr>
        <w:numPr>
          <w:ilvl w:val="0"/>
          <w:numId w:val="46"/>
        </w:numPr>
      </w:pPr>
      <w:r w:rsidRPr="003C217E">
        <w:t xml:space="preserve">Die </w:t>
      </w:r>
      <w:r>
        <w:t>zusätzlichen</w:t>
      </w:r>
      <w:r w:rsidRPr="003C217E">
        <w:t xml:space="preserve"> Regelungen </w:t>
      </w:r>
      <w:r>
        <w:t>zur Bilanzierung von Biogas</w:t>
      </w:r>
      <w:r w:rsidRPr="003C217E">
        <w:t xml:space="preserve"> gelten nur, wenn es sich bei dem eingespeisten Gas um </w:t>
      </w:r>
      <w:r w:rsidR="007C5588">
        <w:t xml:space="preserve">auf Erdgasqualität aufbereitetes </w:t>
      </w:r>
      <w:r w:rsidRPr="003C217E">
        <w:t xml:space="preserve">Biogas nach § 3 </w:t>
      </w:r>
      <w:r w:rsidR="00E40CD9">
        <w:t>Nr.</w:t>
      </w:r>
      <w:r w:rsidRPr="003C217E">
        <w:t xml:space="preserve"> 10c EnWG handelt. </w:t>
      </w:r>
    </w:p>
    <w:p w:rsidR="003D27DE" w:rsidRDefault="00CE1213" w:rsidP="00817985">
      <w:pPr>
        <w:numPr>
          <w:ilvl w:val="0"/>
          <w:numId w:val="46"/>
        </w:numPr>
      </w:pPr>
      <w:r>
        <w:t>Der Bilanzierungszeitraum für in den Biogas-Bilanzkreis ein- und ausgespeiste Bioga</w:t>
      </w:r>
      <w:r>
        <w:t>s</w:t>
      </w:r>
      <w:r>
        <w:t xml:space="preserve">mengen beträgt 12 Monate. </w:t>
      </w:r>
      <w:r w:rsidRPr="003C217E">
        <w:t xml:space="preserve">Der </w:t>
      </w:r>
      <w:r>
        <w:t>Marktgebietsverantwortliche</w:t>
      </w:r>
      <w:r w:rsidRPr="003C217E">
        <w:t xml:space="preserve"> und der Bilanzkreisv</w:t>
      </w:r>
      <w:r w:rsidRPr="003C217E">
        <w:t>e</w:t>
      </w:r>
      <w:r w:rsidRPr="003C217E">
        <w:t>rantwortliche können</w:t>
      </w:r>
      <w:r>
        <w:t xml:space="preserve"> hiervon</w:t>
      </w:r>
      <w:r w:rsidRPr="003C217E">
        <w:t xml:space="preserve"> abweichend einen ersten Bilanzierungszeitraum von w</w:t>
      </w:r>
      <w:r w:rsidRPr="003C217E">
        <w:t>e</w:t>
      </w:r>
      <w:r w:rsidRPr="003C217E">
        <w:t>niger als 12 Monaten vereinbaren (Rumpfbilanzierungszeitraum).</w:t>
      </w:r>
    </w:p>
    <w:p w:rsidR="003D27DE" w:rsidRDefault="00CE1213" w:rsidP="00817985">
      <w:pPr>
        <w:numPr>
          <w:ilvl w:val="0"/>
          <w:numId w:val="46"/>
        </w:numPr>
      </w:pPr>
      <w:r w:rsidRPr="003C217E">
        <w:t>E</w:t>
      </w:r>
      <w:r>
        <w:t>ntspricht</w:t>
      </w:r>
      <w:r w:rsidRPr="003C217E">
        <w:t xml:space="preserve"> </w:t>
      </w:r>
      <w:r>
        <w:t>nicht die gesamte in den Biogas-Bilanzkreis eingespeiste Gasm</w:t>
      </w:r>
      <w:r w:rsidRPr="003C217E">
        <w:t xml:space="preserve">enge </w:t>
      </w:r>
      <w:r w:rsidRPr="00770EAF">
        <w:t xml:space="preserve">den Anforderungen </w:t>
      </w:r>
      <w:r w:rsidR="007C5588" w:rsidRPr="00770EAF">
        <w:t>de</w:t>
      </w:r>
      <w:r w:rsidR="007C5588">
        <w:t>r Ziffer 1</w:t>
      </w:r>
      <w:r w:rsidR="007C5588" w:rsidRPr="00770EAF">
        <w:t xml:space="preserve"> </w:t>
      </w:r>
      <w:r w:rsidRPr="00770EAF">
        <w:t xml:space="preserve">finden die zusätzlichen Regelungen zur Biogas-Bilanzierung </w:t>
      </w:r>
      <w:r w:rsidR="007C5588">
        <w:t xml:space="preserve">ab dem Zeitpunkt, zu dem </w:t>
      </w:r>
      <w:r w:rsidR="00875D23">
        <w:t>der Marktgebietsverantwortliche Kenntnis davon erhält</w:t>
      </w:r>
      <w:r w:rsidR="007C5588">
        <w:t>, dass nicht ausschließlich Biogas eingespeist wurde, bis zum Ende des</w:t>
      </w:r>
      <w:r w:rsidR="007C5588" w:rsidRPr="00770EAF">
        <w:t xml:space="preserve"> </w:t>
      </w:r>
      <w:r w:rsidRPr="00770EAF">
        <w:t>Bilanzierungszei</w:t>
      </w:r>
      <w:r w:rsidRPr="00770EAF">
        <w:t>t</w:t>
      </w:r>
      <w:r w:rsidRPr="00770EAF">
        <w:t>raum</w:t>
      </w:r>
      <w:r w:rsidR="007C5588">
        <w:t>s</w:t>
      </w:r>
      <w:r w:rsidRPr="00770EAF">
        <w:t xml:space="preserve"> keine Anwendung mehr. In diesem Fall gelten </w:t>
      </w:r>
      <w:r w:rsidR="007C5588">
        <w:t xml:space="preserve">fortan </w:t>
      </w:r>
      <w:r w:rsidRPr="00770EAF">
        <w:t>uneingeschränkt die B</w:t>
      </w:r>
      <w:r w:rsidRPr="00770EAF">
        <w:t>e</w:t>
      </w:r>
      <w:r w:rsidRPr="00770EAF">
        <w:t xml:space="preserve">stimmungen des allgemeinen Bilanzkreisvertrages (siehe § 2 Ziffer 1). </w:t>
      </w:r>
    </w:p>
    <w:p w:rsidR="003D27DE" w:rsidRDefault="00CE1213" w:rsidP="00817985">
      <w:pPr>
        <w:numPr>
          <w:ilvl w:val="0"/>
          <w:numId w:val="46"/>
        </w:numPr>
      </w:pPr>
      <w:r w:rsidRPr="00770EAF">
        <w:t>Erlangt der Bilanzkreisverantwortliche Kenntnis darüber, dass die Einspeisemengen</w:t>
      </w:r>
      <w:r w:rsidRPr="003C217E">
        <w:t xml:space="preserve"> nicht mehr den Anforderungen </w:t>
      </w:r>
      <w:r w:rsidR="007C5588">
        <w:t xml:space="preserve">der Ziffer 1 </w:t>
      </w:r>
      <w:r w:rsidRPr="003C217E">
        <w:t xml:space="preserve">entsprechen, wird er unverzüglich nach Kenntniserlangung den </w:t>
      </w:r>
      <w:r>
        <w:t>Marktgebietsverantwortlichen</w:t>
      </w:r>
      <w:r w:rsidRPr="003C217E">
        <w:t xml:space="preserve"> darüber informieren. </w:t>
      </w:r>
    </w:p>
    <w:p w:rsidR="003D27DE" w:rsidRDefault="00CE1213" w:rsidP="00817985">
      <w:pPr>
        <w:numPr>
          <w:ilvl w:val="0"/>
          <w:numId w:val="46"/>
        </w:numPr>
      </w:pPr>
      <w:r w:rsidRPr="003C217E">
        <w:t>Biogas kann in einem Biogas-Bilanzkreis nur dann bilanziert werden, wenn:</w:t>
      </w:r>
    </w:p>
    <w:p w:rsidR="003D27DE" w:rsidRDefault="00CE1213" w:rsidP="00817985">
      <w:pPr>
        <w:pStyle w:val="BulletPGL2"/>
        <w:numPr>
          <w:ilvl w:val="0"/>
          <w:numId w:val="68"/>
        </w:numPr>
        <w:tabs>
          <w:tab w:val="left" w:pos="993"/>
        </w:tabs>
        <w:ind w:left="993" w:hanging="426"/>
      </w:pPr>
      <w:r w:rsidRPr="003C217E">
        <w:t>es sich bei den in den Bilanzkreis eingebrachten Einspeisepunkt</w:t>
      </w:r>
      <w:r>
        <w:t>en</w:t>
      </w:r>
      <w:r w:rsidRPr="003C217E">
        <w:t xml:space="preserve"> ausschließlich um Einspeisepunkte von Biogasanlagen handelt,</w:t>
      </w:r>
    </w:p>
    <w:p w:rsidR="003D27DE" w:rsidRDefault="00CE1213" w:rsidP="00817985">
      <w:pPr>
        <w:pStyle w:val="BulletPGL2"/>
        <w:numPr>
          <w:ilvl w:val="0"/>
          <w:numId w:val="68"/>
        </w:numPr>
        <w:tabs>
          <w:tab w:val="left" w:pos="993"/>
        </w:tabs>
        <w:ind w:left="993" w:hanging="426"/>
      </w:pPr>
      <w:r w:rsidRPr="003C217E">
        <w:t>bei aus anderen Marktgebieten eingespeiste</w:t>
      </w:r>
      <w:r>
        <w:t>m</w:t>
      </w:r>
      <w:r w:rsidRPr="003C217E">
        <w:t xml:space="preserve"> Gas durch den Bilanzkreisveran</w:t>
      </w:r>
      <w:r w:rsidRPr="003C217E">
        <w:t>t</w:t>
      </w:r>
      <w:r w:rsidRPr="003C217E">
        <w:t xml:space="preserve">wortlichen sichergestellt wird, dass dieses Gas aus Biogas-Bilanzkreisen stammt, </w:t>
      </w:r>
    </w:p>
    <w:p w:rsidR="003D27DE" w:rsidRDefault="00CE1213" w:rsidP="00817985">
      <w:pPr>
        <w:pStyle w:val="BulletPGL2"/>
        <w:numPr>
          <w:ilvl w:val="0"/>
          <w:numId w:val="68"/>
        </w:numPr>
        <w:tabs>
          <w:tab w:val="left" w:pos="993"/>
        </w:tabs>
        <w:ind w:left="993" w:hanging="426"/>
      </w:pPr>
      <w:r w:rsidRPr="003C217E">
        <w:t>jeder zur Verrechnung verbundene Bilanzkreis ein Biogas-Bilanzkreis ist</w:t>
      </w:r>
      <w:r>
        <w:t>,</w:t>
      </w:r>
    </w:p>
    <w:p w:rsidR="003D27DE" w:rsidRDefault="00CE1213" w:rsidP="00817985">
      <w:pPr>
        <w:pStyle w:val="BulletPGL2"/>
        <w:numPr>
          <w:ilvl w:val="0"/>
          <w:numId w:val="68"/>
        </w:numPr>
        <w:tabs>
          <w:tab w:val="left" w:pos="993"/>
        </w:tabs>
        <w:ind w:left="993" w:hanging="426"/>
      </w:pPr>
      <w:r w:rsidRPr="003C217E">
        <w:t xml:space="preserve">das vom </w:t>
      </w:r>
      <w:r>
        <w:t xml:space="preserve">VHP </w:t>
      </w:r>
      <w:r w:rsidRPr="003C217E">
        <w:t>bezogene Gas aus einem anderen Biogas-Bilanzkreis übertragen wird</w:t>
      </w:r>
      <w:r>
        <w:t xml:space="preserve"> und</w:t>
      </w:r>
    </w:p>
    <w:p w:rsidR="003D27DE" w:rsidRDefault="00CE1213" w:rsidP="00817985">
      <w:pPr>
        <w:pStyle w:val="BulletPGL2"/>
        <w:numPr>
          <w:ilvl w:val="0"/>
          <w:numId w:val="68"/>
        </w:numPr>
        <w:tabs>
          <w:tab w:val="left" w:pos="993"/>
        </w:tabs>
        <w:ind w:left="993" w:hanging="426"/>
      </w:pPr>
      <w:r>
        <w:t>das aus einer Speicheranlage eingespeiste Gas aus einem Biogas-Bilanzkreis stammt, aus dem in die Speicheranlage ausgespeist wurde.</w:t>
      </w:r>
    </w:p>
    <w:p w:rsidR="003D27DE" w:rsidRDefault="00F663AF" w:rsidP="00817985">
      <w:pPr>
        <w:pStyle w:val="BulletPGL2"/>
        <w:numPr>
          <w:ilvl w:val="0"/>
          <w:numId w:val="49"/>
        </w:numPr>
        <w:ind w:left="567" w:hanging="567"/>
      </w:pPr>
      <w:r w:rsidRPr="00174865">
        <w:t>Lastgänge von RLM-Ausspeisepunkten, die einem Biogas</w:t>
      </w:r>
      <w:r w:rsidR="00973A26">
        <w:t>-</w:t>
      </w:r>
      <w:r w:rsidRPr="00174865">
        <w:t>B</w:t>
      </w:r>
      <w:r w:rsidR="00294394">
        <w:t>ilanzkreis</w:t>
      </w:r>
      <w:r w:rsidRPr="00174865">
        <w:t xml:space="preserve"> </w:t>
      </w:r>
      <w:r w:rsidR="00973A26">
        <w:t xml:space="preserve">bzw. </w:t>
      </w:r>
      <w:r w:rsidR="00294394">
        <w:t>Biogas-Bilanzkonto (§ 7)</w:t>
      </w:r>
      <w:r w:rsidRPr="00174865">
        <w:t xml:space="preserve"> zugeordnet sind, werden täglich mit einem Bilanzierungsbrennwert umgewertet. Nach Abschluss des Monats werden diese Lastgänge auf ev</w:t>
      </w:r>
      <w:r w:rsidR="00E95B64">
        <w:t>entuelle</w:t>
      </w:r>
      <w:r w:rsidRPr="00174865">
        <w:t xml:space="preserve"> E</w:t>
      </w:r>
      <w:r w:rsidRPr="00174865">
        <w:t>r</w:t>
      </w:r>
      <w:r w:rsidRPr="00174865">
        <w:t xml:space="preserve">satzwertkorrekturen oder Korrekturen der K-Zahl geprüft. Eine </w:t>
      </w:r>
      <w:r w:rsidR="00735DDC">
        <w:t xml:space="preserve">RLM-Differenzmengenabrechnung </w:t>
      </w:r>
      <w:r w:rsidRPr="00174865">
        <w:t>für diese Ausspeisepunkte entfällt.</w:t>
      </w:r>
    </w:p>
    <w:p w:rsidR="003D27DE" w:rsidRDefault="00CE1213" w:rsidP="00817985">
      <w:pPr>
        <w:pStyle w:val="Gliederung1"/>
        <w:numPr>
          <w:ilvl w:val="0"/>
          <w:numId w:val="50"/>
        </w:numPr>
      </w:pPr>
      <w:bookmarkStart w:id="127" w:name="_Toc297207952"/>
      <w:r w:rsidRPr="003C217E">
        <w:t>Biogas-Bilanzkreise</w:t>
      </w:r>
      <w:bookmarkEnd w:id="127"/>
      <w:r w:rsidRPr="003C217E">
        <w:t xml:space="preserve"> </w:t>
      </w:r>
    </w:p>
    <w:p w:rsidR="00592AA2" w:rsidRPr="003C217E" w:rsidRDefault="00592AA2" w:rsidP="00817985">
      <w:pPr>
        <w:numPr>
          <w:ilvl w:val="0"/>
          <w:numId w:val="47"/>
        </w:numPr>
      </w:pPr>
      <w:r w:rsidRPr="003C217E">
        <w:t xml:space="preserve">Zur Bildung eines Biogas-Bilanzkreises hat der Bilanzkreisverantwortliche Einspeisepunkte, die der physischen Einspeisung von Biogas </w:t>
      </w:r>
      <w:r>
        <w:t xml:space="preserve">über den Netzanschluss </w:t>
      </w:r>
      <w:r w:rsidRPr="003C217E">
        <w:t>in</w:t>
      </w:r>
      <w:r>
        <w:t xml:space="preserve"> da</w:t>
      </w:r>
      <w:r w:rsidRPr="003C217E">
        <w:t xml:space="preserve">s Netz dienen, in einen Biogas-Bilanzkreis einzubringen. Auf Verlangen des </w:t>
      </w:r>
      <w:r>
        <w:t>Marktgebietsverantwortlichen</w:t>
      </w:r>
      <w:r w:rsidRPr="003C217E">
        <w:t xml:space="preserve"> muss der Bilanzkreisverantwortliche in geeigneter Weise </w:t>
      </w:r>
      <w:r>
        <w:t xml:space="preserve">(z.B. Nachweis gemäß dem Erneuerbare-Energien-Gesetz, Wirtschaftsprüfertestat) </w:t>
      </w:r>
      <w:r w:rsidRPr="003C217E">
        <w:t xml:space="preserve">nachweisen, dass es sich bei dem physisch eingespeisten Gas um Biogas handelt. Abweichend von Satz 1 kann der Bilanzkreisverantwortliche auch andere physische Einspeisepunkte </w:t>
      </w:r>
      <w:r>
        <w:t xml:space="preserve">(z.B. Marktgebietsübergangspunkte, Speicher) </w:t>
      </w:r>
      <w:r w:rsidRPr="003C217E">
        <w:t xml:space="preserve">oder den virtuellen Einspeisepunkt zur Bildung eines Biogas-Bilanzkreises einbringen, wenn er nachweist, dass das eingespeiste Gas Biogas ist. Der Nachweis gilt grundsätzlich als erbracht, wenn das Gas aus einem Biogas-Bilanzkreis übertragen wird. </w:t>
      </w:r>
    </w:p>
    <w:p w:rsidR="003D27DE" w:rsidRDefault="00CF33F8" w:rsidP="00817985">
      <w:pPr>
        <w:numPr>
          <w:ilvl w:val="0"/>
          <w:numId w:val="47"/>
        </w:numPr>
      </w:pPr>
      <w:r w:rsidRPr="00CF33F8">
        <w:t>Mehrere Biogas-Unterbilanzkreise können über einen Rechnungsbilanzkreis miteina</w:t>
      </w:r>
      <w:r w:rsidRPr="00CF33F8">
        <w:t>n</w:t>
      </w:r>
      <w:r w:rsidRPr="00CF33F8">
        <w:t>der verbunden werden. Die miteinander verbundenen Biogas-Unterbilanzkreise müssen einen am gleichen Datum endenden Bilanzierungszeitraum aufweisen; das Datum für den Beginn des Bilanzierungszeitraums kann unterschiedlich sein</w:t>
      </w:r>
      <w:r>
        <w:t>.</w:t>
      </w:r>
    </w:p>
    <w:p w:rsidR="003D27DE" w:rsidRDefault="00CE1213" w:rsidP="00817985">
      <w:pPr>
        <w:numPr>
          <w:ilvl w:val="0"/>
          <w:numId w:val="47"/>
        </w:numPr>
      </w:pPr>
      <w:r w:rsidRPr="003C217E">
        <w:t xml:space="preserve">Der </w:t>
      </w:r>
      <w:r w:rsidRPr="00770EAF">
        <w:t>Bilanzkreisverantwortliche bleibt berechtigt, Biogas-Einspeisepunkte in einen B</w:t>
      </w:r>
      <w:r w:rsidRPr="00770EAF">
        <w:t>i</w:t>
      </w:r>
      <w:r w:rsidRPr="00770EAF">
        <w:t xml:space="preserve">lanzkreis des Marktgebietsverantwortlichen </w:t>
      </w:r>
      <w:r w:rsidR="008245C1" w:rsidRPr="00770EAF">
        <w:t xml:space="preserve">gemäß § </w:t>
      </w:r>
      <w:r w:rsidR="00BE071F">
        <w:t>8</w:t>
      </w:r>
      <w:r w:rsidR="008245C1" w:rsidRPr="00770EAF">
        <w:t xml:space="preserve"> des allgemeinen Bilanzkreisve</w:t>
      </w:r>
      <w:r w:rsidR="008245C1" w:rsidRPr="00770EAF">
        <w:t>r</w:t>
      </w:r>
      <w:r w:rsidR="008245C1" w:rsidRPr="00770EAF">
        <w:t xml:space="preserve">trages </w:t>
      </w:r>
      <w:r w:rsidRPr="00770EAF">
        <w:t>einzubringen</w:t>
      </w:r>
      <w:r w:rsidRPr="003C217E">
        <w:t>. In diesem Fall hat der Bilanzkreisverantwortliche keinen Anspruch auf den erweiterten Biogas-Bilanzausgleich. Eine separate Abrechnung der Bioga</w:t>
      </w:r>
      <w:r w:rsidRPr="003C217E">
        <w:t>s</w:t>
      </w:r>
      <w:r w:rsidRPr="003C217E">
        <w:t>mengen ist in diesem Fall nicht möglich.</w:t>
      </w:r>
    </w:p>
    <w:p w:rsidR="003D27DE" w:rsidRDefault="00CE1213" w:rsidP="00817985">
      <w:pPr>
        <w:pStyle w:val="Gliederung1"/>
        <w:numPr>
          <w:ilvl w:val="0"/>
          <w:numId w:val="50"/>
        </w:numPr>
      </w:pPr>
      <w:bookmarkStart w:id="128" w:name="_Toc168806116"/>
      <w:bookmarkStart w:id="129" w:name="_Toc168805982"/>
      <w:bookmarkStart w:id="130" w:name="_Toc297207953"/>
      <w:r w:rsidRPr="003C217E">
        <w:t>Erweiterter Bilanzausgleich</w:t>
      </w:r>
      <w:bookmarkEnd w:id="128"/>
      <w:bookmarkEnd w:id="129"/>
      <w:r w:rsidRPr="003C217E">
        <w:t xml:space="preserve"> für Biogas-Bilanzkreise</w:t>
      </w:r>
      <w:bookmarkEnd w:id="130"/>
    </w:p>
    <w:p w:rsidR="00A05A04" w:rsidRPr="003C217E" w:rsidRDefault="00A05A04" w:rsidP="00817985">
      <w:pPr>
        <w:numPr>
          <w:ilvl w:val="0"/>
          <w:numId w:val="48"/>
        </w:numPr>
      </w:pPr>
      <w:r w:rsidRPr="003C217E">
        <w:t xml:space="preserve">Der </w:t>
      </w:r>
      <w:r>
        <w:t>Marktgebietsverantwortliche</w:t>
      </w:r>
      <w:r w:rsidRPr="003C217E">
        <w:t xml:space="preserve"> gewährt dem Bilanzkreisverantwortlichen einen erwe</w:t>
      </w:r>
      <w:r w:rsidRPr="003C217E">
        <w:t>i</w:t>
      </w:r>
      <w:r w:rsidRPr="003C217E">
        <w:t>terten Bilanzausgleich für Biogas-Bilanzkreise in Höhe von 25 % bezogen auf die ph</w:t>
      </w:r>
      <w:r w:rsidRPr="003C217E">
        <w:t>y</w:t>
      </w:r>
      <w:r w:rsidRPr="003C217E">
        <w:t xml:space="preserve">sisch eingespeiste </w:t>
      </w:r>
      <w:r>
        <w:t>Biogas</w:t>
      </w:r>
      <w:r w:rsidRPr="003C217E">
        <w:t>menge</w:t>
      </w:r>
      <w:r>
        <w:t xml:space="preserve"> innerhalb des jeweiligen Bilanzierungszeitraumes</w:t>
      </w:r>
      <w:r w:rsidRPr="003C217E">
        <w:t xml:space="preserve">. </w:t>
      </w:r>
      <w:r>
        <w:t>Der Flexibilitätsrahmen bezieht sich auf die kumulierte Abweichung der eingespeisten von der ausgespeisten Menge innerhalb des Bilanzierungszeitraumes.</w:t>
      </w:r>
    </w:p>
    <w:p w:rsidR="003D27DE" w:rsidRDefault="00CE1213" w:rsidP="00817985">
      <w:pPr>
        <w:numPr>
          <w:ilvl w:val="0"/>
          <w:numId w:val="48"/>
        </w:numPr>
      </w:pPr>
      <w:r w:rsidRPr="003C217E">
        <w:t xml:space="preserve">Vor Beginn eines jeden Bilanzierungszeitraumes nennt der Bilanzkreisverantwortliche dem </w:t>
      </w:r>
      <w:r>
        <w:t>Marktgebietsverantwortlichen</w:t>
      </w:r>
      <w:r w:rsidRPr="003C217E">
        <w:t xml:space="preserve"> unverbindlich die voraussichtlichen Ein- und Au</w:t>
      </w:r>
      <w:r w:rsidRPr="003C217E">
        <w:t>s</w:t>
      </w:r>
      <w:r w:rsidRPr="003C217E">
        <w:t>speisemengen sowie deren zeitliche Verteilung für den Bilanzierungszeitraum.</w:t>
      </w:r>
    </w:p>
    <w:p w:rsidR="003D27DE" w:rsidRDefault="00CE1213" w:rsidP="00817985">
      <w:pPr>
        <w:numPr>
          <w:ilvl w:val="0"/>
          <w:numId w:val="48"/>
        </w:numPr>
      </w:pPr>
      <w:r w:rsidRPr="003C217E">
        <w:t xml:space="preserve">Die kumulierten Ein- und Ausspeisungen werden innerhalb des Bilanzierungszeitraums unter Berücksichtigung der Vorzeichen fortlaufend </w:t>
      </w:r>
      <w:r>
        <w:t>durch den Marktgebietsverantwortl</w:t>
      </w:r>
      <w:r>
        <w:t>i</w:t>
      </w:r>
      <w:r>
        <w:t xml:space="preserve">chen auf täglicher Basis </w:t>
      </w:r>
      <w:r w:rsidRPr="003C217E">
        <w:t>saldiert. Dieser Saldo des Biogas-Bilanzkreises darf zu keinem Zeitpunkt außerhalb des Flexibilitätsrahmens liegen. Für die Ermittlung des Flexibilität</w:t>
      </w:r>
      <w:r w:rsidRPr="003C217E">
        <w:t>s</w:t>
      </w:r>
      <w:r w:rsidRPr="003C217E">
        <w:t>rahmens werden alle physischen Einspeisemengen der Biogaseinspeisepunkte (Bi</w:t>
      </w:r>
      <w:r w:rsidRPr="003C217E">
        <w:t>o</w:t>
      </w:r>
      <w:r w:rsidRPr="003C217E">
        <w:t>gasanlagen) im Biogas-Bilanzkreis ermittelt, d.h. diejenigen Mengen, die über direkt in den jeweiligen Biogas-Bilanzkreis eingebrachte physische Biogas-Einspeisepunkte ei</w:t>
      </w:r>
      <w:r w:rsidRPr="003C217E">
        <w:t>n</w:t>
      </w:r>
      <w:r w:rsidRPr="003C217E">
        <w:t xml:space="preserve">gespeist wurden. Am </w:t>
      </w:r>
      <w:r>
        <w:t>VHP</w:t>
      </w:r>
      <w:r w:rsidRPr="003C217E">
        <w:t xml:space="preserve"> oder zwischen Marktgebieten (über MüT) übertragene Me</w:t>
      </w:r>
      <w:r w:rsidRPr="003C217E">
        <w:t>n</w:t>
      </w:r>
      <w:r w:rsidRPr="003C217E">
        <w:t xml:space="preserve">gen bleiben unberücksichtigt. </w:t>
      </w:r>
      <w:r>
        <w:t>Der Marktgebietsverantwortliche ermittelt d</w:t>
      </w:r>
      <w:r w:rsidRPr="003C217E">
        <w:t xml:space="preserve">urch Addition aller physischen Einspeisemengen der Biogaseinspeisepunkte je Biogas-Bilanzkreis die </w:t>
      </w:r>
      <w:r>
        <w:t xml:space="preserve">insgesamt </w:t>
      </w:r>
      <w:r w:rsidRPr="003C217E">
        <w:t xml:space="preserve">physisch </w:t>
      </w:r>
      <w:r w:rsidRPr="00A52E30">
        <w:t xml:space="preserve">eingespeiste Jahresmenge. +/- 25 % der physisch eingespeisten Jahresmenge ergeben die absolute Flexibilität in </w:t>
      </w:r>
      <w:r w:rsidRPr="003A3BD1">
        <w:t>kWh.</w:t>
      </w:r>
      <w:r w:rsidRPr="00A52E30">
        <w:t xml:space="preserve"> </w:t>
      </w:r>
      <w:r w:rsidR="00BE05FC">
        <w:t>Der Marktgebietsverantwortliche</w:t>
      </w:r>
      <w:r w:rsidR="00D10CD2" w:rsidRPr="00D10CD2">
        <w:t xml:space="preserve"> verwendet die am Ende des Bilanzierungszeitraums vorliegende Bilanzkreisverbindung zur Berechnung der absoluten Flexibilitäten und zur Abrechnung der Bilanzkreise.</w:t>
      </w:r>
      <w:r w:rsidR="00D10CD2">
        <w:t xml:space="preserve"> </w:t>
      </w:r>
      <w:r w:rsidRPr="00A52E30">
        <w:t>Mö</w:t>
      </w:r>
      <w:r w:rsidRPr="00A52E30">
        <w:t>g</w:t>
      </w:r>
      <w:r w:rsidRPr="00A52E30">
        <w:t>liche ex-post Übertragungen von Flexibilitäten sind zu beachten (Ziffer 4). Darüber hinausgehende tägliche Abweichungen werden mit den jeweiligen täglichen Au</w:t>
      </w:r>
      <w:r w:rsidRPr="00A52E30">
        <w:t>s</w:t>
      </w:r>
      <w:r w:rsidRPr="00A52E30">
        <w:t xml:space="preserve">gleichsenergiepreisen (Verkaufs-/Kaufpreis) nach Maßgabe des § </w:t>
      </w:r>
      <w:r w:rsidR="00BE071F">
        <w:t>14</w:t>
      </w:r>
      <w:r w:rsidRPr="00A52E30">
        <w:t xml:space="preserve"> Ziffer </w:t>
      </w:r>
      <w:r w:rsidR="00E554D7">
        <w:t xml:space="preserve">4 bis </w:t>
      </w:r>
      <w:r w:rsidR="00F80E3F">
        <w:t>5</w:t>
      </w:r>
      <w:r w:rsidRPr="00A52E30">
        <w:t xml:space="preserve"> des allgemeinen Bilanzkreisvertrages am Ende des Bilanzierungszeitraumes abgerechnet. Im Fall der Abrechnung einer darüber hinausgehenden täglichen Abweichung wird j</w:t>
      </w:r>
      <w:r w:rsidRPr="00A52E30">
        <w:t>e</w:t>
      </w:r>
      <w:r w:rsidRPr="00A52E30">
        <w:t>weils der gekürzte Saldo weitergeführt. Daneben ist einvernehmlich eine vorläufige m</w:t>
      </w:r>
      <w:r w:rsidRPr="00A52E30">
        <w:t>o</w:t>
      </w:r>
      <w:r w:rsidRPr="00A52E30">
        <w:t>natliche Abrechnung möglich, z.B. auf Basis der nach Ziffer 2 gemeldeten</w:t>
      </w:r>
      <w:r w:rsidRPr="003C217E">
        <w:t xml:space="preserve"> voraussichtl</w:t>
      </w:r>
      <w:r w:rsidRPr="003C217E">
        <w:t>i</w:t>
      </w:r>
      <w:r w:rsidRPr="003C217E">
        <w:t>chen Einspeisejahresmenge</w:t>
      </w:r>
      <w:r>
        <w:t xml:space="preserve"> im Bilanzierungszeitraum</w:t>
      </w:r>
      <w:r w:rsidRPr="003C217E">
        <w:t xml:space="preserve">. </w:t>
      </w:r>
    </w:p>
    <w:p w:rsidR="003D27DE" w:rsidRDefault="00ED72C6" w:rsidP="00817985">
      <w:pPr>
        <w:numPr>
          <w:ilvl w:val="0"/>
          <w:numId w:val="48"/>
        </w:numPr>
      </w:pPr>
      <w:r w:rsidRPr="003C217E">
        <w:t xml:space="preserve">Der Bilanzkreisverantwortliche ist berechtigt, die auf Basis der physisch eingespeisten Jahresmenge ermittelte absolute </w:t>
      </w:r>
      <w:r w:rsidRPr="003C217E">
        <w:rPr>
          <w:color w:val="000000"/>
        </w:rPr>
        <w:t>Flexibilität</w:t>
      </w:r>
      <w:r w:rsidRPr="003C217E">
        <w:t xml:space="preserve"> seines Biogas-Bilanzkreises </w:t>
      </w:r>
      <w:r>
        <w:t>bzw. von a</w:t>
      </w:r>
      <w:r>
        <w:t>n</w:t>
      </w:r>
      <w:r>
        <w:t xml:space="preserve">deren Biogas-Bilanzkreisen übertragene Flexibilitäten </w:t>
      </w:r>
      <w:r w:rsidRPr="003C217E">
        <w:t>nach Ende des Bilanzierungszei</w:t>
      </w:r>
      <w:r w:rsidRPr="003C217E">
        <w:t>t</w:t>
      </w:r>
      <w:r w:rsidRPr="003C217E">
        <w:t>raumes in andere Biogas-Bilanzkreise</w:t>
      </w:r>
      <w:r w:rsidR="00E95B64">
        <w:t xml:space="preserve"> </w:t>
      </w:r>
      <w:r w:rsidR="00CE1213" w:rsidRPr="003C217E">
        <w:t>in</w:t>
      </w:r>
      <w:r w:rsidR="00CF33F8">
        <w:t>nerhalb</w:t>
      </w:r>
      <w:r w:rsidR="00CE1213" w:rsidRPr="003C217E">
        <w:t xml:space="preserve"> eine</w:t>
      </w:r>
      <w:r w:rsidR="00CF33F8">
        <w:t>s</w:t>
      </w:r>
      <w:r w:rsidR="00CE1213" w:rsidRPr="003C217E">
        <w:t xml:space="preserve"> Marktgebiet</w:t>
      </w:r>
      <w:r w:rsidR="00CF33F8">
        <w:t>es</w:t>
      </w:r>
      <w:r w:rsidR="00CE1213" w:rsidRPr="003C217E">
        <w:t xml:space="preserve"> oder zu Biogas-Bilanzkreisen in einem anderen Marktgebiet</w:t>
      </w:r>
      <w:r>
        <w:t xml:space="preserve"> ex-post ganz oder teilweise zu übertragen</w:t>
      </w:r>
      <w:r w:rsidR="00CF33F8">
        <w:t xml:space="preserve">, wenn der Bilanzierungszeitraum der Biogas-Bilanzkreise zum gleichen Zeitpunkt endet. </w:t>
      </w:r>
      <w:r w:rsidR="00CF33F8" w:rsidRPr="00CF33F8">
        <w:t>Bei der Bildung von Biogas-Unterbilanzkreisen findet die Übertragung von Flexibilität über den gemeinsamen Rechnungsbilanzkreis statt (§ 5 Ziffer 2).</w:t>
      </w:r>
      <w:r w:rsidR="00CE1213" w:rsidRPr="003C217E">
        <w:t xml:space="preserve"> </w:t>
      </w:r>
    </w:p>
    <w:p w:rsidR="00CE1213" w:rsidRPr="003C217E" w:rsidRDefault="00CE1213" w:rsidP="00C27E03">
      <w:pPr>
        <w:pStyle w:val="GL2OhneZiffer"/>
      </w:pPr>
      <w:r w:rsidRPr="003C217E">
        <w:t xml:space="preserve">Nach Ablauf des Bilanzierungszeitraums </w:t>
      </w:r>
      <w:r w:rsidR="00ED72C6">
        <w:t xml:space="preserve">und anschließender finaler Ermittlung der Mengen der Biogas-Bilanzkreise </w:t>
      </w:r>
      <w:r w:rsidRPr="003C217E">
        <w:t xml:space="preserve">teilt der </w:t>
      </w:r>
      <w:r>
        <w:t>Marktgebietsverantwortliche</w:t>
      </w:r>
      <w:r w:rsidRPr="003C217E">
        <w:t xml:space="preserve"> dem Bilanzkrei</w:t>
      </w:r>
      <w:r w:rsidRPr="003C217E">
        <w:t>s</w:t>
      </w:r>
      <w:r w:rsidRPr="003C217E">
        <w:t xml:space="preserve">verantwortlichen die absolute </w:t>
      </w:r>
      <w:r w:rsidRPr="003C217E">
        <w:rPr>
          <w:color w:val="000000"/>
        </w:rPr>
        <w:t>Flexibilität</w:t>
      </w:r>
      <w:r w:rsidRPr="003C217E">
        <w:t xml:space="preserve"> der relevanten Biogas-Bilanzkreise</w:t>
      </w:r>
      <w:r w:rsidR="003A3BD1">
        <w:t xml:space="preserve"> mit</w:t>
      </w:r>
      <w:r w:rsidRPr="003C217E">
        <w:t xml:space="preserve">. </w:t>
      </w:r>
    </w:p>
    <w:p w:rsidR="00CE1213" w:rsidRPr="003C217E" w:rsidRDefault="00CE1213" w:rsidP="00C27E03">
      <w:pPr>
        <w:pStyle w:val="GL2OhneZiffer"/>
      </w:pPr>
      <w:r w:rsidRPr="003C217E">
        <w:t xml:space="preserve">Dies zugrunde gelegt, teilen sowohl der die </w:t>
      </w:r>
      <w:r w:rsidRPr="003C217E">
        <w:rPr>
          <w:color w:val="000000"/>
        </w:rPr>
        <w:t>Flexibilität</w:t>
      </w:r>
      <w:r w:rsidRPr="003C217E">
        <w:t xml:space="preserve"> abgebende als auch der die </w:t>
      </w:r>
      <w:r w:rsidRPr="003C217E">
        <w:rPr>
          <w:color w:val="000000"/>
        </w:rPr>
        <w:t>Fl</w:t>
      </w:r>
      <w:r w:rsidRPr="003C217E">
        <w:rPr>
          <w:color w:val="000000"/>
        </w:rPr>
        <w:t>e</w:t>
      </w:r>
      <w:r w:rsidRPr="003C217E">
        <w:rPr>
          <w:color w:val="000000"/>
        </w:rPr>
        <w:t>xibilität</w:t>
      </w:r>
      <w:r w:rsidRPr="003C217E">
        <w:t xml:space="preserve"> aufnehmende Bilanzkreisverantwortliche dem </w:t>
      </w:r>
      <w:r w:rsidR="00116553">
        <w:t>Marktgebietsverantwortlichen</w:t>
      </w:r>
      <w:r w:rsidR="00116553" w:rsidRPr="003C217E">
        <w:t xml:space="preserve"> </w:t>
      </w:r>
      <w:r w:rsidRPr="003C217E">
        <w:t>innerhalb von 20 Werktagen nach Vorliegen der Abrechnungsdaten für die maßgebl</w:t>
      </w:r>
      <w:r w:rsidRPr="003C217E">
        <w:t>i</w:t>
      </w:r>
      <w:r w:rsidRPr="003C217E">
        <w:t xml:space="preserve">chen Biogas-Bilanzkreise die Übertragung der </w:t>
      </w:r>
      <w:r w:rsidRPr="003C217E">
        <w:rPr>
          <w:color w:val="000000"/>
        </w:rPr>
        <w:t>Flexibilität</w:t>
      </w:r>
      <w:r w:rsidRPr="003C217E">
        <w:t xml:space="preserve"> und deren Höhe je Biogas-Bilanzkreis mit. </w:t>
      </w:r>
      <w:r w:rsidR="00CF33F8">
        <w:t>D</w:t>
      </w:r>
      <w:r w:rsidRPr="003C217E">
        <w:t xml:space="preserve">ie Übertragung von Flexibilitäten zwischen Biogas-Bilanzkreisen </w:t>
      </w:r>
      <w:r w:rsidR="00CF33F8" w:rsidRPr="00CF33F8">
        <w:t xml:space="preserve">bzw. Biogas-Rechnungsbilanzkreisen (vgl. Ziffer 4 Abs. 1 Satz 2) erfolgt dabei nach </w:t>
      </w:r>
      <w:r w:rsidRPr="003C217E">
        <w:t>folge</w:t>
      </w:r>
      <w:r w:rsidRPr="003C217E">
        <w:t>n</w:t>
      </w:r>
      <w:r w:rsidRPr="003C217E">
        <w:t>de</w:t>
      </w:r>
      <w:r w:rsidR="00CF33F8">
        <w:t>n</w:t>
      </w:r>
      <w:r w:rsidRPr="003C217E">
        <w:t xml:space="preserve"> Vorgaben:</w:t>
      </w:r>
    </w:p>
    <w:p w:rsidR="003D27DE" w:rsidRDefault="00CF33F8" w:rsidP="00817985">
      <w:pPr>
        <w:pStyle w:val="BulletPGL2"/>
        <w:numPr>
          <w:ilvl w:val="0"/>
          <w:numId w:val="68"/>
        </w:numPr>
        <w:tabs>
          <w:tab w:val="left" w:pos="993"/>
        </w:tabs>
        <w:ind w:left="993" w:hanging="426"/>
      </w:pPr>
      <w:r w:rsidRPr="00CF33F8">
        <w:t>Der Marktgebietsverantwortliche richtet dem Bilanzkreisverantwortlichen für jeden Biogas-Bilanzkreis zur Übertragung der Flexibilität ein Flexibilitätskonto ein. Der Kontostand bei Eröffnung des Flexibilitätskontos entspricht dem von dem Marktg</w:t>
      </w:r>
      <w:r w:rsidRPr="00CF33F8">
        <w:t>e</w:t>
      </w:r>
      <w:r w:rsidRPr="00CF33F8">
        <w:t>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t>.</w:t>
      </w:r>
      <w:r w:rsidR="00730BC6">
        <w:t xml:space="preserve"> </w:t>
      </w:r>
    </w:p>
    <w:p w:rsidR="003D27DE" w:rsidRDefault="00CF33F8" w:rsidP="00817985">
      <w:pPr>
        <w:pStyle w:val="BulletPGL2"/>
        <w:numPr>
          <w:ilvl w:val="0"/>
          <w:numId w:val="68"/>
        </w:numPr>
        <w:tabs>
          <w:tab w:val="left" w:pos="993"/>
        </w:tabs>
        <w:ind w:left="993" w:hanging="426"/>
      </w:pPr>
      <w:r w:rsidRPr="00E95B64">
        <w:t>Der Bilanzkreisverantwortliche kann innerhalb von 20 Werktagen täglich Flexibilität ma</w:t>
      </w:r>
      <w:r w:rsidRPr="00CF33F8">
        <w:t>ximal in Höhe des an dem jeweiligen Tag ermittelten Tagesstartwertes übertr</w:t>
      </w:r>
      <w:r w:rsidRPr="00CF33F8">
        <w:t>a</w:t>
      </w:r>
      <w:r w:rsidRPr="00CF33F8">
        <w:t>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w:t>
      </w:r>
      <w:r w:rsidRPr="00CF33F8">
        <w:t>i</w:t>
      </w:r>
      <w:r w:rsidRPr="00CF33F8">
        <w:t>litätskontos der beteiligen Biogas-Bilanzkreise für den nächsten Tag</w:t>
      </w:r>
      <w:r>
        <w:t>.</w:t>
      </w:r>
    </w:p>
    <w:p w:rsidR="003D27DE" w:rsidRDefault="00CF33F8" w:rsidP="00817985">
      <w:pPr>
        <w:pStyle w:val="BulletPGL2"/>
        <w:numPr>
          <w:ilvl w:val="0"/>
          <w:numId w:val="68"/>
        </w:numPr>
        <w:tabs>
          <w:tab w:val="left" w:pos="993"/>
        </w:tabs>
        <w:ind w:left="993" w:hanging="426"/>
      </w:pPr>
      <w:r w:rsidRPr="00CF33F8">
        <w:t>Der Marktgebietsverantwortliche teilt dem Bilanzkreisverantwortlichen innerhalb der 20 Werktage, in denen Flexibilitäten übertragen werden können, den Tagesstar</w:t>
      </w:r>
      <w:r w:rsidRPr="00CF33F8">
        <w:t>t</w:t>
      </w:r>
      <w:r w:rsidRPr="00CF33F8">
        <w:t>wert für den Folgetag jeweils täglich bis spätestens 21:00 Uhr mit. Der Bilanzkrei</w:t>
      </w:r>
      <w:r w:rsidRPr="00CF33F8">
        <w:t>s</w:t>
      </w:r>
      <w:r w:rsidRPr="00CF33F8">
        <w:t xml:space="preserve">verantwortliche </w:t>
      </w:r>
      <w:r w:rsidR="005720BB">
        <w:t>sendet</w:t>
      </w:r>
      <w:r w:rsidRPr="00CF33F8">
        <w:t xml:space="preserve"> darauf basierend </w:t>
      </w:r>
      <w:r w:rsidR="005720BB">
        <w:t xml:space="preserve">eine Nachricht mit den </w:t>
      </w:r>
      <w:r w:rsidRPr="00CF33F8">
        <w:t>Übertragungsme</w:t>
      </w:r>
      <w:r w:rsidRPr="00CF33F8">
        <w:t>n</w:t>
      </w:r>
      <w:r w:rsidRPr="00CF33F8">
        <w:t>gen je abgebenden und aufnehmenden Biogas-Bilanzkreis täglich bis 17</w:t>
      </w:r>
      <w:r w:rsidR="005720BB">
        <w:t>:00</w:t>
      </w:r>
      <w:r w:rsidRPr="00CF33F8">
        <w:t xml:space="preserve"> Uhr. Der Marktgebietsverantwortliche prüft </w:t>
      </w:r>
      <w:r w:rsidRPr="00522399">
        <w:t>täglich ab 17:00 Uhr</w:t>
      </w:r>
      <w:r w:rsidRPr="00CF33F8">
        <w:t xml:space="preserve"> </w:t>
      </w:r>
      <w:r w:rsidR="005720BB">
        <w:t>diese Nachrichten</w:t>
      </w:r>
      <w:r w:rsidRPr="00CF33F8">
        <w:t xml:space="preserve"> und erteilt dem Bilanzkreisverantwortlichen </w:t>
      </w:r>
      <w:r w:rsidRPr="00522399">
        <w:t>eine</w:t>
      </w:r>
      <w:r w:rsidRPr="00CF33F8">
        <w:t xml:space="preserve"> </w:t>
      </w:r>
      <w:r w:rsidR="005720BB">
        <w:t>Empfangs</w:t>
      </w:r>
      <w:r w:rsidRPr="00CF33F8">
        <w:t>- und Übertragungsbestät</w:t>
      </w:r>
      <w:r w:rsidRPr="00CF33F8">
        <w:t>i</w:t>
      </w:r>
      <w:r w:rsidRPr="00CF33F8">
        <w:t>gung bis 20:00 Uhr. Am Ende der 20 Werktage teilt der Marktgebietsverantwortl</w:t>
      </w:r>
      <w:r w:rsidRPr="00CF33F8">
        <w:t>i</w:t>
      </w:r>
      <w:r w:rsidRPr="00CF33F8">
        <w:t>che dem Bilanzkreisverantwortlichen den finalen Stand der Flexibilität mit</w:t>
      </w:r>
      <w:r w:rsidR="00CE1213" w:rsidRPr="003C217E">
        <w:t>.</w:t>
      </w:r>
    </w:p>
    <w:p w:rsidR="00CF33F8" w:rsidRDefault="00CF33F8" w:rsidP="00C27E03">
      <w:pPr>
        <w:pStyle w:val="GL2OhneZiffer"/>
      </w:pPr>
      <w:r w:rsidRPr="00CF33F8">
        <w:t>Der Marktgebietsverantwortliche prüft die Einhaltung der o.g. Voraussetzungen für die Übertragung von Flexibilitäten. Werden die Voraussetzungen nicht erfüllt, ist der Mark</w:t>
      </w:r>
      <w:r w:rsidRPr="00CF33F8">
        <w:t>t</w:t>
      </w:r>
      <w:r w:rsidRPr="00CF33F8">
        <w:t>gebietsverantwortliche, nach Mitteilung an die/den Bilanzkreisverantwortlichen, berec</w:t>
      </w:r>
      <w:r w:rsidRPr="00CF33F8">
        <w:t>h</w:t>
      </w:r>
      <w:r w:rsidRPr="00CF33F8">
        <w:t>tigt, die Übertragung abzulehnen. Das gilt insbesondere in dem Fall, dass die Summe der nominierten zu übertragenden Flexibilitäten den Tagesstartwert des abgebenden Flexibilitätskontos übersteigt. Eine Ablehnung führt jedoch nicht zur vollständigen B</w:t>
      </w:r>
      <w:r w:rsidRPr="00CF33F8">
        <w:t>e</w:t>
      </w:r>
      <w:r w:rsidRPr="00CF33F8">
        <w:t>endigung des Übertragungsprozesses. Der Bilanzkreisverantwortliche kann innerhalb der 20 Werktage bei Einhaltung der o.g. Voraussetzungen die abgelehnte Übertragung am Folgetag wiederholen.</w:t>
      </w:r>
    </w:p>
    <w:p w:rsidR="00CE1213" w:rsidRPr="003C217E" w:rsidRDefault="00CE1213" w:rsidP="00C27E03">
      <w:pPr>
        <w:pStyle w:val="GL2OhneZiffer"/>
        <w:rPr>
          <w:color w:val="000000"/>
        </w:rPr>
      </w:pPr>
      <w:r w:rsidRPr="003C217E">
        <w:t xml:space="preserve">Der </w:t>
      </w:r>
      <w:r>
        <w:t>Marktgebietsverantwortliche</w:t>
      </w:r>
      <w:r w:rsidRPr="003C217E">
        <w:t xml:space="preserve"> prüft </w:t>
      </w:r>
      <w:r w:rsidR="00CF33F8">
        <w:t xml:space="preserve">überdies täglich </w:t>
      </w:r>
      <w:r w:rsidRPr="003C217E">
        <w:t>die Mitteilungen des/der Bilan</w:t>
      </w:r>
      <w:r w:rsidRPr="003C217E">
        <w:t>z</w:t>
      </w:r>
      <w:r w:rsidRPr="003C217E">
        <w:t xml:space="preserve">kreisverantwortlichen auf Übereinstimmung der gemeldeten Übertragungswerte. Sollten die gemeldeten Übertragungswerte nicht übereinstimmen, ist der </w:t>
      </w:r>
      <w:r>
        <w:t>Marktgebietsveran</w:t>
      </w:r>
      <w:r>
        <w:t>t</w:t>
      </w:r>
      <w:r>
        <w:t>wortliche</w:t>
      </w:r>
      <w:r w:rsidRPr="003C217E">
        <w:t>, nach Mitteilung an die/den Bilanzkreisverantwortlichen berechtigt, eine Kü</w:t>
      </w:r>
      <w:r w:rsidRPr="003C217E">
        <w:t>r</w:t>
      </w:r>
      <w:r w:rsidRPr="003C217E">
        <w:t>zung auf den geringeren Wert</w:t>
      </w:r>
      <w:r>
        <w:t xml:space="preserve"> vorzunehmen </w:t>
      </w:r>
      <w:r w:rsidRPr="003C217E">
        <w:t>(„Matching“-Prozess)</w:t>
      </w:r>
      <w:r>
        <w:t xml:space="preserve">; </w:t>
      </w:r>
      <w:r w:rsidR="00AA3C27" w:rsidRPr="00AA3C27">
        <w:t>stimmen die Mitte</w:t>
      </w:r>
      <w:r w:rsidR="00AA3C27" w:rsidRPr="00AA3C27">
        <w:t>i</w:t>
      </w:r>
      <w:r w:rsidR="00AA3C27" w:rsidRPr="00AA3C27">
        <w:t>lungen des abgebenden und des aufnehmenden Bilanzkreisverantwortlichen im Übr</w:t>
      </w:r>
      <w:r w:rsidR="00AA3C27" w:rsidRPr="00AA3C27">
        <w:t>i</w:t>
      </w:r>
      <w:r w:rsidR="00AA3C27" w:rsidRPr="00AA3C27">
        <w:t>gen nicht überein</w:t>
      </w:r>
      <w:r w:rsidRPr="00672EC6">
        <w:t xml:space="preserve">, </w:t>
      </w:r>
      <w:r>
        <w:t xml:space="preserve">setzt der Marktgebietsverantwortliche </w:t>
      </w:r>
      <w:r w:rsidRPr="00672EC6">
        <w:t>die abgehenden Nominieru</w:t>
      </w:r>
      <w:r w:rsidRPr="00672EC6">
        <w:t>n</w:t>
      </w:r>
      <w:r w:rsidRPr="00672EC6">
        <w:t xml:space="preserve">gen auf </w:t>
      </w:r>
      <w:r>
        <w:t xml:space="preserve">„Null“, woraufhin </w:t>
      </w:r>
      <w:r w:rsidRPr="00672EC6">
        <w:t>die</w:t>
      </w:r>
      <w:r>
        <w:t xml:space="preserve"> zu übertragende Flexibilität </w:t>
      </w:r>
      <w:r w:rsidRPr="00672EC6">
        <w:t>neu berechnet werden</w:t>
      </w:r>
      <w:r>
        <w:t xml:space="preserve"> muss</w:t>
      </w:r>
      <w:r w:rsidRPr="00672EC6">
        <w:t>.</w:t>
      </w:r>
      <w:r w:rsidRPr="003C217E">
        <w:t xml:space="preserve"> Am </w:t>
      </w:r>
      <w:r>
        <w:t xml:space="preserve">VHP </w:t>
      </w:r>
      <w:r w:rsidRPr="003C217E">
        <w:t xml:space="preserve">führt der jeweilige </w:t>
      </w:r>
      <w:r>
        <w:t>Marktgebietsverantwortliche</w:t>
      </w:r>
      <w:r w:rsidRPr="003C217E">
        <w:t xml:space="preserve"> die Prüfung eigenständig durch; bei der Übertragung zwischen Marktgebieten muss der Prozess in Abstimmung mit dem/den benachbarten </w:t>
      </w:r>
      <w:r>
        <w:t>Marktgebietsverantwortliche</w:t>
      </w:r>
      <w:r w:rsidRPr="003C217E">
        <w:t>n erfolgen.</w:t>
      </w:r>
    </w:p>
    <w:p w:rsidR="00D21D9F" w:rsidRPr="00A52E30" w:rsidRDefault="00D21D9F" w:rsidP="00817985">
      <w:pPr>
        <w:numPr>
          <w:ilvl w:val="0"/>
          <w:numId w:val="48"/>
        </w:numPr>
      </w:pPr>
      <w:r w:rsidRPr="00A52E30">
        <w:t>Der Bilanzkreisverantwortliche zahlt an den Marktgebietsverantwortlichen für den erwe</w:t>
      </w:r>
      <w:r w:rsidRPr="00A52E30">
        <w:t>i</w:t>
      </w:r>
      <w:r w:rsidRPr="00A52E30">
        <w:t>terten Bilanzausgleich das Entgelt gemäß § 35 Abs. 8 GasNZV für die Nutzung des ta</w:t>
      </w:r>
      <w:r w:rsidRPr="00A52E30">
        <w:t>t</w:t>
      </w:r>
      <w:r w:rsidRPr="00A52E30">
        <w:t>sächlich in Anspruch genommenen Flexibilitätsrahmens. Der für den Bilanzierungszei</w:t>
      </w:r>
      <w:r w:rsidRPr="00A52E30">
        <w:t>t</w:t>
      </w:r>
      <w:r w:rsidRPr="00A52E30">
        <w:t xml:space="preserve">raum in Anspruch genommene Flexibilitätsrahmen bemisst sich nach der </w:t>
      </w:r>
      <w:r>
        <w:t xml:space="preserve">betragsmäßig </w:t>
      </w:r>
      <w:r w:rsidRPr="00A52E30">
        <w:t>höchsten täglichen Abweichung der kumulierten Ein- und Ausspeisungen innerhalb des unter Ziffer 3 genannten Flexibilitätsrahmens von +/- 25 %. Die Übertragung von Flex</w:t>
      </w:r>
      <w:r w:rsidRPr="00A52E30">
        <w:t>i</w:t>
      </w:r>
      <w:r w:rsidRPr="00A52E30">
        <w:t>bilität nach Ziffer 4 ist zu beachten. Die Abrechnung erfolgt am Ende des jeweiligen B</w:t>
      </w:r>
      <w:r w:rsidRPr="00A52E30">
        <w:t>i</w:t>
      </w:r>
      <w:r w:rsidRPr="00A52E30">
        <w:t>lanzierungszeitraumes.</w:t>
      </w:r>
    </w:p>
    <w:p w:rsidR="003D27DE" w:rsidRDefault="00CE1213" w:rsidP="00817985">
      <w:pPr>
        <w:numPr>
          <w:ilvl w:val="0"/>
          <w:numId w:val="48"/>
        </w:numPr>
      </w:pPr>
      <w:r w:rsidRPr="00A52E30">
        <w:t>Der Bilanzkreisverantwortliche hat sicherzustellen, dass die kumulierten Ein- und Au</w:t>
      </w:r>
      <w:r w:rsidRPr="00A52E30">
        <w:t>s</w:t>
      </w:r>
      <w:r w:rsidRPr="00A52E30">
        <w:t xml:space="preserve">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A52E30">
        <w:t>gemäß</w:t>
      </w:r>
      <w:r w:rsidRPr="00A52E30">
        <w:t xml:space="preserve"> Ziffer 7, aus. Der Marktgebietsverantwortliche hat an den B</w:t>
      </w:r>
      <w:r w:rsidRPr="00A52E30">
        <w:t>i</w:t>
      </w:r>
      <w:r w:rsidRPr="00A52E30">
        <w:t>lanzkreisverantwortlichen ein Entgelt in Höhe des durchschnittlichen Ausgleichsene</w:t>
      </w:r>
      <w:r w:rsidRPr="00A52E30">
        <w:t>r</w:t>
      </w:r>
      <w:r w:rsidRPr="00A52E30">
        <w:t xml:space="preserve">giepreises des Bilanzierungszeitraums zu zahlen, soweit die Einspeisemengen die Ausspeisemengen, ggf. nach Abzug eines übertragenen positiven Saldos </w:t>
      </w:r>
      <w:r w:rsidR="00BF1FC2" w:rsidRPr="00A52E30">
        <w:t>gemäß</w:t>
      </w:r>
      <w:r w:rsidRPr="00A52E30">
        <w:t xml:space="preserve"> Zi</w:t>
      </w:r>
      <w:r w:rsidRPr="00A52E30">
        <w:t>f</w:t>
      </w:r>
      <w:r w:rsidRPr="00A52E30">
        <w:t>fer 7, überschreiten (nachfolgend „negative Ausgleichsenergie“). Der Bilanzkreisv</w:t>
      </w:r>
      <w:r w:rsidRPr="00A52E30">
        <w:t>e</w:t>
      </w:r>
      <w:r w:rsidRPr="00A52E30">
        <w:t>rantwortliche hat an den Marktgebietsverantwortlichen ein Entgelt in Höhe des durc</w:t>
      </w:r>
      <w:r w:rsidRPr="00A52E30">
        <w:t>h</w:t>
      </w:r>
      <w:r w:rsidRPr="00A52E30">
        <w:t>schnittlichen Ausgleichsenergiepreises des Bilanzierungszeitraums zu zahlen, soweit die Ausspeisemengen die Einspeisemengen überschreiten (nachfolgend „positive Au</w:t>
      </w:r>
      <w:r w:rsidRPr="00A52E30">
        <w:t>s</w:t>
      </w:r>
      <w:r w:rsidRPr="00A52E30">
        <w:t xml:space="preserve">gleichsenergie“). </w:t>
      </w:r>
    </w:p>
    <w:p w:rsidR="003D27DE" w:rsidRDefault="00CE1213" w:rsidP="00817985">
      <w:pPr>
        <w:numPr>
          <w:ilvl w:val="0"/>
          <w:numId w:val="48"/>
        </w:numPr>
      </w:pPr>
      <w:r w:rsidRPr="00A52E30">
        <w:t xml:space="preserve">Im Rahmen der Biogas-Bilanzierung ist ein Übertrag eines positiven Saldos bis in Höhe des bestehenden Flexibilitätsrahmens auf den nächsten Bilanzierungszeitraum möglich. </w:t>
      </w:r>
      <w:r w:rsidRPr="00B533AD">
        <w:t>Die Übertragung erfolgt automatisch,</w:t>
      </w:r>
      <w:r w:rsidRPr="00A52E30">
        <w:t xml:space="preserve"> wenn der Bilanzkreisverantwortliche dem nicht </w:t>
      </w:r>
      <w:r w:rsidR="00F06B17" w:rsidRPr="00F06B17">
        <w:t>bis M+2M+16 W</w:t>
      </w:r>
      <w:r w:rsidR="00F06B17">
        <w:t>erktage</w:t>
      </w:r>
      <w:r w:rsidR="00F06B17" w:rsidRPr="00F06B17">
        <w:t xml:space="preserve"> nach dem Bilanzierungszeitraum </w:t>
      </w:r>
      <w:r w:rsidRPr="00A52E30">
        <w:t xml:space="preserve"> widerspricht. </w:t>
      </w:r>
      <w:r w:rsidR="00693590" w:rsidRPr="00693590">
        <w:t xml:space="preserve">Dieser Saldo wird bei der </w:t>
      </w:r>
      <w:r w:rsidR="00693590">
        <w:t>Ermittlung</w:t>
      </w:r>
      <w:r w:rsidR="00693590" w:rsidRPr="00693590">
        <w:t xml:space="preserve"> des in dem nächsten Bilanzierungszeitraum in Anspruch genomm</w:t>
      </w:r>
      <w:r w:rsidR="00693590" w:rsidRPr="00693590">
        <w:t>e</w:t>
      </w:r>
      <w:r w:rsidR="00693590" w:rsidRPr="00693590">
        <w:t xml:space="preserve">nen Flexibilitätsrahmens nach Ziffer </w:t>
      </w:r>
      <w:r w:rsidR="00693590">
        <w:t>3</w:t>
      </w:r>
      <w:r w:rsidR="00693590" w:rsidRPr="00693590">
        <w:t xml:space="preserve"> nicht berücksichtigt</w:t>
      </w:r>
      <w:r w:rsidR="00693590">
        <w:t>, sondern</w:t>
      </w:r>
      <w:r w:rsidR="00693590" w:rsidRPr="00693590">
        <w:t xml:space="preserve"> </w:t>
      </w:r>
      <w:r w:rsidR="00693590">
        <w:t xml:space="preserve">am Ende des </w:t>
      </w:r>
      <w:r w:rsidR="00693590" w:rsidRPr="00693590">
        <w:t>nächsten Bilanzierungszeitraum</w:t>
      </w:r>
      <w:r w:rsidR="00693590">
        <w:t xml:space="preserve">s mit dem dann festgestellten Saldo verrechnet. </w:t>
      </w:r>
    </w:p>
    <w:p w:rsidR="003D27DE" w:rsidRDefault="00CE1213" w:rsidP="00817985">
      <w:pPr>
        <w:numPr>
          <w:ilvl w:val="0"/>
          <w:numId w:val="48"/>
        </w:numPr>
      </w:pPr>
      <w:r w:rsidRPr="00A52E30">
        <w:t>Der Marktgebietsverantwortliche ist nicht zum Einsatz von Biogas hinsichtlich des nach Ziffer</w:t>
      </w:r>
      <w:r w:rsidR="003B22EC">
        <w:t>n</w:t>
      </w:r>
      <w:r w:rsidRPr="00A52E30">
        <w:t xml:space="preserve"> 3 und 6 vorzunehmend</w:t>
      </w:r>
      <w:r w:rsidRPr="00F010F3">
        <w:t xml:space="preserve">en Ausgleichs verpflichtet. </w:t>
      </w:r>
    </w:p>
    <w:p w:rsidR="003D27DE" w:rsidRDefault="00CE1213" w:rsidP="00817985">
      <w:pPr>
        <w:pStyle w:val="Gliederung1"/>
        <w:numPr>
          <w:ilvl w:val="0"/>
          <w:numId w:val="50"/>
        </w:numPr>
      </w:pPr>
      <w:bookmarkStart w:id="131" w:name="_Toc297207954"/>
      <w:r>
        <w:t>Biogas-Sub-Bilanzkonten</w:t>
      </w:r>
      <w:bookmarkEnd w:id="131"/>
      <w:r>
        <w:t xml:space="preserve"> </w:t>
      </w:r>
    </w:p>
    <w:p w:rsidR="00CE1213" w:rsidRDefault="00CE1213" w:rsidP="00375BC0">
      <w:r w:rsidRPr="006C6D1E">
        <w:t xml:space="preserve">Im Rahmen eines bestehenden </w:t>
      </w:r>
      <w:r>
        <w:t>Biogas-</w:t>
      </w:r>
      <w:r w:rsidRPr="006C6D1E">
        <w:t xml:space="preserve">Bilanzkreises kann der Bilanzkreisverantwortliche </w:t>
      </w:r>
      <w:r>
        <w:t>Biogas-</w:t>
      </w:r>
      <w:r w:rsidRPr="006C6D1E">
        <w:t xml:space="preserve">Sub-Bilanzkonten bilden. </w:t>
      </w:r>
    </w:p>
    <w:p w:rsidR="008B782D" w:rsidRDefault="008B782D" w:rsidP="00375BC0"/>
    <w:p w:rsidR="008B782D" w:rsidRDefault="008B782D" w:rsidP="00375BC0"/>
    <w:p w:rsidR="003D27DE" w:rsidRDefault="00116553" w:rsidP="00817985">
      <w:pPr>
        <w:pStyle w:val="Gliederung1"/>
        <w:numPr>
          <w:ilvl w:val="0"/>
          <w:numId w:val="50"/>
        </w:numPr>
      </w:pPr>
      <w:bookmarkStart w:id="132" w:name="_Toc297207955"/>
      <w:r w:rsidRPr="00116553">
        <w:t>Konvertierung von Biogas</w:t>
      </w:r>
      <w:bookmarkEnd w:id="132"/>
    </w:p>
    <w:p w:rsidR="003D27DE" w:rsidRDefault="004F45E9" w:rsidP="00817985">
      <w:pPr>
        <w:numPr>
          <w:ilvl w:val="0"/>
          <w:numId w:val="82"/>
        </w:numPr>
      </w:pPr>
      <w:r>
        <w:t xml:space="preserve">Abweichend von § </w:t>
      </w:r>
      <w:r w:rsidR="00BE071F">
        <w:t>20</w:t>
      </w:r>
      <w:r>
        <w:t xml:space="preserve"> Ziffer 2 </w:t>
      </w:r>
      <w:r w:rsidRPr="00116553">
        <w:t>der Bestimmungen des allgemeinen Bilanzkreisvertrages</w:t>
      </w:r>
      <w:r w:rsidRPr="00116553" w:rsidDel="004F45E9">
        <w:t xml:space="preserve"> </w:t>
      </w:r>
      <w:r>
        <w:t>gilt für Biogas-Bilanzkreise Folgendes:</w:t>
      </w:r>
      <w:r>
        <w:br/>
      </w:r>
      <w:r w:rsidRPr="004F45E9">
        <w:t>Zur Bestimmung der auf einen Bilanzkreisverantwortlichen entfallenden Konverti</w:t>
      </w:r>
      <w:r w:rsidRPr="004F45E9">
        <w:t>e</w:t>
      </w:r>
      <w:r w:rsidRPr="004F45E9">
        <w:t>rungsmengen werden die während des Biogas-Bilanzierungszeitraums bilanzierten Einspeisemengen und Ausspeisemengen getrennt nach H- und L-Gas je Bilanzkreis saldiert. Ausspeise- und Einspeisepunkte werden je Gasqualität getrennten Bilanzkre</w:t>
      </w:r>
      <w:r w:rsidRPr="004F45E9">
        <w:t>i</w:t>
      </w:r>
      <w:r w:rsidRPr="004F45E9">
        <w:t>sen zugeordnet. Für die Saldierung wird ein verbindender Rechnungsbilanzkreis eing</w:t>
      </w:r>
      <w:r w:rsidRPr="004F45E9">
        <w:t>e</w:t>
      </w:r>
      <w:r w:rsidRPr="004F45E9">
        <w:t>richtet und einer Gasqualität zugeordnet. Die Salden aller mit dem Rechnungsbilan</w:t>
      </w:r>
      <w:r w:rsidRPr="004F45E9">
        <w:t>z</w:t>
      </w:r>
      <w:r w:rsidRPr="004F45E9">
        <w:t>kreis verbundenen Bilanzkreise einschließlich des Rechnungsbilanzkreises selbst we</w:t>
      </w:r>
      <w:r w:rsidRPr="004F45E9">
        <w:t>r</w:t>
      </w:r>
      <w:r w:rsidRPr="004F45E9">
        <w:t>den getrennt je Gasqualität addiert. Hierbei werden im Rechnungsbilanzkreis nur die b</w:t>
      </w:r>
      <w:r w:rsidRPr="004F45E9">
        <w:t>i</w:t>
      </w:r>
      <w:r w:rsidRPr="004F45E9">
        <w:t>lanzierten Ein- und Ausspeisemengen berücksichtigt. Ergibt sich dabei eine Überde</w:t>
      </w:r>
      <w:r w:rsidRPr="004F45E9">
        <w:t>c</w:t>
      </w:r>
      <w:r w:rsidRPr="004F45E9">
        <w:t xml:space="preserve">kung in der </w:t>
      </w:r>
      <w:r w:rsidR="007E4C4E">
        <w:t>Gasqualität H-Gas</w:t>
      </w:r>
      <w:r w:rsidRPr="004F45E9">
        <w:t xml:space="preserve"> und eine Unterdeckung in der Gasqualität</w:t>
      </w:r>
      <w:r w:rsidR="007E4C4E">
        <w:t xml:space="preserve"> L-Gas</w:t>
      </w:r>
      <w:r w:rsidRPr="004F45E9">
        <w:t xml:space="preserve">, erhebt der Marktgebietsverantwortliche von dem Bilanzkreisverantwortlichen auf den kleineren Betrag der beiden Mengen ein Konvertierungsentgelt in </w:t>
      </w:r>
      <w:r w:rsidR="00BC7A4E">
        <w:t>EUR</w:t>
      </w:r>
      <w:r w:rsidRPr="004F45E9">
        <w:t xml:space="preserve"> pro </w:t>
      </w:r>
      <w:r w:rsidR="00BC7A4E">
        <w:t>M</w:t>
      </w:r>
      <w:r w:rsidRPr="004F45E9">
        <w:t>Wh. Die Abrec</w:t>
      </w:r>
      <w:r w:rsidRPr="004F45E9">
        <w:t>h</w:t>
      </w:r>
      <w:r w:rsidRPr="004F45E9">
        <w:t>nung des Konvertierungsentgelts erfolgt auf der Grundlage d</w:t>
      </w:r>
      <w:r>
        <w:t>er endgültigen, auch für die Bi</w:t>
      </w:r>
      <w:r w:rsidRPr="004F45E9">
        <w:t>lanzkreisabrechnung zugrunde gelegten Bilanzwerte</w:t>
      </w:r>
      <w:r>
        <w:t>.</w:t>
      </w:r>
    </w:p>
    <w:p w:rsidR="009F2CE8" w:rsidRDefault="004F45E9" w:rsidP="001F039E">
      <w:pPr>
        <w:numPr>
          <w:ilvl w:val="0"/>
          <w:numId w:val="82"/>
        </w:numPr>
      </w:pPr>
      <w:r>
        <w:t xml:space="preserve">Ergänzend zu § </w:t>
      </w:r>
      <w:r w:rsidR="00BE071F">
        <w:t>21</w:t>
      </w:r>
      <w:r>
        <w:t xml:space="preserve"> Ziffer 1 bis 3 </w:t>
      </w:r>
      <w:r w:rsidRPr="00116553">
        <w:t>der Bestimmungen des allgemeinen Bilanzkreisvertr</w:t>
      </w:r>
      <w:r w:rsidRPr="00116553">
        <w:t>a</w:t>
      </w:r>
      <w:r w:rsidRPr="00116553">
        <w:t>ges</w:t>
      </w:r>
      <w:r w:rsidRPr="00116553" w:rsidDel="004F45E9">
        <w:t xml:space="preserve"> </w:t>
      </w:r>
      <w:r>
        <w:t>gilt für Biogas-Bilanzkreise Folgendes:</w:t>
      </w:r>
      <w:r>
        <w:br/>
      </w:r>
      <w:r w:rsidRPr="004F45E9">
        <w:t>Bei der Abrechnung der Konvertierung ist das zeitgewichtete Mittel der während des Biogas</w:t>
      </w:r>
      <w:r w:rsidR="00D856CA">
        <w:t>-B</w:t>
      </w:r>
      <w:r w:rsidRPr="004F45E9">
        <w:t>ilanzierungszeitraums geltenden Konve</w:t>
      </w:r>
      <w:r>
        <w:t>rtierungsentgelte heranzuziehen</w:t>
      </w:r>
      <w:r w:rsidR="00116553" w:rsidRPr="00116553">
        <w:t xml:space="preserve">. </w:t>
      </w:r>
      <w:bookmarkEnd w:id="91"/>
    </w:p>
    <w:p w:rsidR="0031316F" w:rsidRDefault="0031316F" w:rsidP="0031316F">
      <w:pPr>
        <w:sectPr w:rsidR="0031316F" w:rsidSect="00891CE5">
          <w:headerReference w:type="default" r:id="rId8"/>
          <w:footerReference w:type="default" r:id="rId9"/>
          <w:footerReference w:type="first" r:id="rId10"/>
          <w:type w:val="continuous"/>
          <w:pgSz w:w="11906" w:h="16838" w:code="9"/>
          <w:pgMar w:top="2240" w:right="1389" w:bottom="1361" w:left="1389" w:header="1162" w:footer="567" w:gutter="0"/>
          <w:cols w:space="708"/>
          <w:titlePg/>
          <w:docGrid w:linePitch="360"/>
        </w:sectPr>
      </w:pPr>
    </w:p>
    <w:p w:rsidR="0031316F" w:rsidRDefault="0031316F" w:rsidP="0031316F"/>
    <w:sectPr w:rsidR="0031316F" w:rsidSect="0031316F">
      <w:pgSz w:w="11906" w:h="16838" w:code="9"/>
      <w:pgMar w:top="2240" w:right="1389" w:bottom="1361" w:left="1389" w:header="1162"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DE098" w15:done="0"/>
  <w15:commentEx w15:paraId="29DE1537" w15:done="0"/>
  <w15:commentEx w15:paraId="5D6CF4DC" w15:paraIdParent="29DE1537" w15:done="0"/>
  <w15:commentEx w15:paraId="47E0AB55" w15:done="0"/>
  <w15:commentEx w15:paraId="35C04551" w15:paraIdParent="47E0AB55" w15:done="0"/>
  <w15:commentEx w15:paraId="1119B93E" w15:done="0"/>
  <w15:commentEx w15:paraId="22E43F70" w15:done="0"/>
  <w15:commentEx w15:paraId="0C33A3B4" w15:done="0"/>
  <w15:commentEx w15:paraId="29628335" w15:done="0"/>
  <w15:commentEx w15:paraId="01222574" w15:paraIdParent="2962833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AB" w:rsidRDefault="005B18AB">
      <w:r>
        <w:separator/>
      </w:r>
    </w:p>
    <w:p w:rsidR="005B18AB" w:rsidRDefault="005B18AB"/>
    <w:p w:rsidR="005B18AB" w:rsidRDefault="005B18AB"/>
    <w:p w:rsidR="005B18AB" w:rsidRDefault="005B18AB"/>
  </w:endnote>
  <w:endnote w:type="continuationSeparator" w:id="0">
    <w:p w:rsidR="005B18AB" w:rsidRDefault="005B18AB">
      <w:r>
        <w:continuationSeparator/>
      </w:r>
    </w:p>
    <w:p w:rsidR="005B18AB" w:rsidRDefault="005B18AB"/>
    <w:p w:rsidR="005B18AB" w:rsidRDefault="005B18AB"/>
    <w:p w:rsidR="005B18AB" w:rsidRDefault="005B18A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AB" w:rsidRPr="0085094C" w:rsidRDefault="005B18AB" w:rsidP="0085094C">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xml:space="preserve">, Stand </w:t>
    </w:r>
    <w:r w:rsidR="00F3745D">
      <w:rPr>
        <w:rFonts w:cs="Arial"/>
        <w:sz w:val="14"/>
        <w:szCs w:val="14"/>
      </w:rPr>
      <w:t>10.03.2017</w:t>
    </w:r>
    <w:r>
      <w:rPr>
        <w:rFonts w:cs="Arial"/>
        <w:sz w:val="14"/>
        <w:szCs w:val="14"/>
      </w:rPr>
      <w:tab/>
    </w:r>
    <w:r>
      <w:rPr>
        <w:rFonts w:cs="Arial"/>
        <w:sz w:val="14"/>
        <w:szCs w:val="14"/>
      </w:rPr>
      <w:tab/>
    </w:r>
    <w:r w:rsidRPr="007F0990">
      <w:rPr>
        <w:rFonts w:cs="Arial"/>
        <w:sz w:val="14"/>
        <w:szCs w:val="14"/>
      </w:rPr>
      <w:t xml:space="preserve">Seite </w:t>
    </w:r>
    <w:r w:rsidR="00C6426A" w:rsidRPr="007F0990">
      <w:rPr>
        <w:rFonts w:cs="Arial"/>
        <w:sz w:val="14"/>
        <w:szCs w:val="14"/>
      </w:rPr>
      <w:fldChar w:fldCharType="begin"/>
    </w:r>
    <w:r w:rsidRPr="007F0990">
      <w:rPr>
        <w:rFonts w:cs="Arial"/>
        <w:sz w:val="14"/>
        <w:szCs w:val="14"/>
      </w:rPr>
      <w:instrText>PAGE</w:instrText>
    </w:r>
    <w:r w:rsidR="00C6426A" w:rsidRPr="007F0990">
      <w:rPr>
        <w:rFonts w:cs="Arial"/>
        <w:sz w:val="14"/>
        <w:szCs w:val="14"/>
      </w:rPr>
      <w:fldChar w:fldCharType="separate"/>
    </w:r>
    <w:r w:rsidR="000B4172">
      <w:rPr>
        <w:rFonts w:cs="Arial"/>
        <w:noProof/>
        <w:sz w:val="14"/>
        <w:szCs w:val="14"/>
      </w:rPr>
      <w:t>32</w:t>
    </w:r>
    <w:r w:rsidR="00C6426A" w:rsidRPr="007F0990">
      <w:rPr>
        <w:rFonts w:cs="Arial"/>
        <w:sz w:val="14"/>
        <w:szCs w:val="14"/>
      </w:rPr>
      <w:fldChar w:fldCharType="end"/>
    </w:r>
    <w:r w:rsidRPr="007F0990">
      <w:rPr>
        <w:rFonts w:cs="Arial"/>
        <w:sz w:val="14"/>
        <w:szCs w:val="14"/>
      </w:rPr>
      <w:t xml:space="preserve"> von </w:t>
    </w:r>
    <w:r w:rsidR="00C6426A" w:rsidRPr="007F0990">
      <w:rPr>
        <w:rFonts w:cs="Arial"/>
        <w:sz w:val="14"/>
        <w:szCs w:val="14"/>
      </w:rPr>
      <w:fldChar w:fldCharType="begin"/>
    </w:r>
    <w:r w:rsidRPr="007F0990">
      <w:rPr>
        <w:rFonts w:cs="Arial"/>
        <w:sz w:val="14"/>
        <w:szCs w:val="14"/>
      </w:rPr>
      <w:instrText>NUMPAGES</w:instrText>
    </w:r>
    <w:r w:rsidR="00C6426A" w:rsidRPr="007F0990">
      <w:rPr>
        <w:rFonts w:cs="Arial"/>
        <w:sz w:val="14"/>
        <w:szCs w:val="14"/>
      </w:rPr>
      <w:fldChar w:fldCharType="separate"/>
    </w:r>
    <w:r w:rsidR="000B4172">
      <w:rPr>
        <w:rFonts w:cs="Arial"/>
        <w:noProof/>
        <w:sz w:val="14"/>
        <w:szCs w:val="14"/>
      </w:rPr>
      <w:t>59</w:t>
    </w:r>
    <w:r w:rsidR="00C6426A" w:rsidRPr="007F0990">
      <w:rPr>
        <w:rFonts w:cs="Arial"/>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AB" w:rsidRPr="00E251A4" w:rsidRDefault="005B18AB" w:rsidP="00E251A4">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xml:space="preserve">, Stand </w:t>
    </w:r>
    <w:r w:rsidR="00F3745D">
      <w:rPr>
        <w:rFonts w:cs="Arial"/>
        <w:sz w:val="14"/>
        <w:szCs w:val="14"/>
      </w:rPr>
      <w:t>10.03.2017</w:t>
    </w:r>
    <w:r>
      <w:rPr>
        <w:rFonts w:cs="Arial"/>
        <w:sz w:val="14"/>
        <w:szCs w:val="14"/>
      </w:rPr>
      <w:tab/>
    </w:r>
    <w:r>
      <w:rPr>
        <w:rFonts w:cs="Arial"/>
        <w:sz w:val="14"/>
        <w:szCs w:val="14"/>
      </w:rPr>
      <w:tab/>
    </w:r>
    <w:r w:rsidRPr="007F0990">
      <w:rPr>
        <w:rFonts w:cs="Arial"/>
        <w:sz w:val="14"/>
        <w:szCs w:val="14"/>
      </w:rPr>
      <w:t xml:space="preserve">Seite </w:t>
    </w:r>
    <w:r w:rsidR="00C6426A" w:rsidRPr="007F0990">
      <w:rPr>
        <w:rFonts w:cs="Arial"/>
        <w:sz w:val="14"/>
        <w:szCs w:val="14"/>
      </w:rPr>
      <w:fldChar w:fldCharType="begin"/>
    </w:r>
    <w:r w:rsidRPr="007F0990">
      <w:rPr>
        <w:rFonts w:cs="Arial"/>
        <w:sz w:val="14"/>
        <w:szCs w:val="14"/>
      </w:rPr>
      <w:instrText>PAGE</w:instrText>
    </w:r>
    <w:r w:rsidR="00C6426A" w:rsidRPr="007F0990">
      <w:rPr>
        <w:rFonts w:cs="Arial"/>
        <w:sz w:val="14"/>
        <w:szCs w:val="14"/>
      </w:rPr>
      <w:fldChar w:fldCharType="separate"/>
    </w:r>
    <w:r w:rsidR="000B4172">
      <w:rPr>
        <w:rFonts w:cs="Arial"/>
        <w:noProof/>
        <w:sz w:val="14"/>
        <w:szCs w:val="14"/>
      </w:rPr>
      <w:t>1</w:t>
    </w:r>
    <w:r w:rsidR="00C6426A" w:rsidRPr="007F0990">
      <w:rPr>
        <w:rFonts w:cs="Arial"/>
        <w:sz w:val="14"/>
        <w:szCs w:val="14"/>
      </w:rPr>
      <w:fldChar w:fldCharType="end"/>
    </w:r>
    <w:r w:rsidRPr="007F0990">
      <w:rPr>
        <w:rFonts w:cs="Arial"/>
        <w:sz w:val="14"/>
        <w:szCs w:val="14"/>
      </w:rPr>
      <w:t xml:space="preserve"> von </w:t>
    </w:r>
    <w:r w:rsidR="00C6426A" w:rsidRPr="007F0990">
      <w:rPr>
        <w:rFonts w:cs="Arial"/>
        <w:sz w:val="14"/>
        <w:szCs w:val="14"/>
      </w:rPr>
      <w:fldChar w:fldCharType="begin"/>
    </w:r>
    <w:r w:rsidRPr="007F0990">
      <w:rPr>
        <w:rFonts w:cs="Arial"/>
        <w:sz w:val="14"/>
        <w:szCs w:val="14"/>
      </w:rPr>
      <w:instrText>NUMPAGES</w:instrText>
    </w:r>
    <w:r w:rsidR="00C6426A" w:rsidRPr="007F0990">
      <w:rPr>
        <w:rFonts w:cs="Arial"/>
        <w:sz w:val="14"/>
        <w:szCs w:val="14"/>
      </w:rPr>
      <w:fldChar w:fldCharType="separate"/>
    </w:r>
    <w:r w:rsidR="000B4172">
      <w:rPr>
        <w:rFonts w:cs="Arial"/>
        <w:noProof/>
        <w:sz w:val="14"/>
        <w:szCs w:val="14"/>
      </w:rPr>
      <w:t>59</w:t>
    </w:r>
    <w:r w:rsidR="00C6426A" w:rsidRPr="007F0990">
      <w:rPr>
        <w:rFonts w:cs="Aria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AB" w:rsidRDefault="005B18AB">
      <w:r>
        <w:separator/>
      </w:r>
    </w:p>
  </w:footnote>
  <w:footnote w:type="continuationSeparator" w:id="0">
    <w:p w:rsidR="005B18AB" w:rsidRDefault="005B18AB">
      <w:r>
        <w:continuationSeparator/>
      </w:r>
    </w:p>
    <w:p w:rsidR="005B18AB" w:rsidRDefault="005B18AB"/>
    <w:p w:rsidR="005B18AB" w:rsidRDefault="005B18AB"/>
    <w:p w:rsidR="005B18AB" w:rsidRDefault="005B18A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AB" w:rsidRPr="00E251A4" w:rsidRDefault="005B18AB">
    <w:pPr>
      <w:pStyle w:val="Kopfzeile"/>
      <w:rPr>
        <w:b/>
        <w:sz w:val="22"/>
        <w:szCs w:val="22"/>
      </w:rPr>
    </w:pPr>
    <w:r w:rsidRPr="00E251A4">
      <w:rPr>
        <w:b/>
        <w:kern w:val="32"/>
        <w:sz w:val="22"/>
        <w:szCs w:val="22"/>
      </w:rPr>
      <w:t>Anlage 4: Geschäftsbedingungen für den Bilanzkreisvertrag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nsid w:val="00155156"/>
    <w:multiLevelType w:val="multilevel"/>
    <w:tmpl w:val="55D65FEE"/>
    <w:numStyleLink w:val="Gliederung2"/>
  </w:abstractNum>
  <w:abstractNum w:abstractNumId="5">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nsid w:val="01252661"/>
    <w:multiLevelType w:val="multilevel"/>
    <w:tmpl w:val="55D65FEE"/>
    <w:numStyleLink w:val="Gliederung2"/>
  </w:abstractNum>
  <w:abstractNum w:abstractNumId="7">
    <w:nsid w:val="02D72930"/>
    <w:multiLevelType w:val="hybridMultilevel"/>
    <w:tmpl w:val="0ADA901A"/>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36A2236"/>
    <w:multiLevelType w:val="multilevel"/>
    <w:tmpl w:val="55D65FEE"/>
    <w:styleLink w:val="Gliederung2"/>
    <w:lvl w:ilvl="0">
      <w:start w:val="1"/>
      <w:numFmt w:val="decimal"/>
      <w:pStyle w:val="BulletPGL2"/>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04E323D8"/>
    <w:multiLevelType w:val="multilevel"/>
    <w:tmpl w:val="55D65FEE"/>
    <w:numStyleLink w:val="Gliederung2"/>
  </w:abstractNum>
  <w:abstractNum w:abstractNumId="1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nsid w:val="05EB2B2F"/>
    <w:multiLevelType w:val="hybridMultilevel"/>
    <w:tmpl w:val="66C07418"/>
    <w:lvl w:ilvl="0" w:tplc="04070017">
      <w:start w:val="30"/>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6C96BAC"/>
    <w:multiLevelType w:val="multilevel"/>
    <w:tmpl w:val="55D65FEE"/>
    <w:numStyleLink w:val="Gliederung2"/>
  </w:abstractNum>
  <w:abstractNum w:abstractNumId="14">
    <w:nsid w:val="09801BFD"/>
    <w:multiLevelType w:val="multilevel"/>
    <w:tmpl w:val="55D65FEE"/>
    <w:numStyleLink w:val="Gliederung2"/>
  </w:abstractNum>
  <w:abstractNum w:abstractNumId="15">
    <w:nsid w:val="0A824F48"/>
    <w:multiLevelType w:val="multilevel"/>
    <w:tmpl w:val="976804DE"/>
    <w:numStyleLink w:val="Gliederung3"/>
  </w:abstractNum>
  <w:abstractNum w:abstractNumId="16">
    <w:nsid w:val="0B98098E"/>
    <w:multiLevelType w:val="multilevel"/>
    <w:tmpl w:val="55D65FEE"/>
    <w:numStyleLink w:val="Gliederung2"/>
  </w:abstractNum>
  <w:abstractNum w:abstractNumId="17">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0F6E2AF9"/>
    <w:multiLevelType w:val="multilevel"/>
    <w:tmpl w:val="976804DE"/>
    <w:numStyleLink w:val="Gliederung3"/>
  </w:abstractNum>
  <w:abstractNum w:abstractNumId="20">
    <w:nsid w:val="10F961B2"/>
    <w:multiLevelType w:val="multilevel"/>
    <w:tmpl w:val="55D65FEE"/>
    <w:numStyleLink w:val="Gliederung2"/>
  </w:abstractNum>
  <w:abstractNum w:abstractNumId="21">
    <w:nsid w:val="12382146"/>
    <w:multiLevelType w:val="multilevel"/>
    <w:tmpl w:val="976804DE"/>
    <w:numStyleLink w:val="Gliederung3"/>
  </w:abstractNum>
  <w:abstractNum w:abstractNumId="22">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nsid w:val="13721E9F"/>
    <w:multiLevelType w:val="multilevel"/>
    <w:tmpl w:val="976804DE"/>
    <w:numStyleLink w:val="Gliederung3"/>
  </w:abstractNum>
  <w:abstractNum w:abstractNumId="25">
    <w:nsid w:val="13B65BB5"/>
    <w:multiLevelType w:val="hybridMultilevel"/>
    <w:tmpl w:val="CB10B5F4"/>
    <w:lvl w:ilvl="0" w:tplc="7CD2E376">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8">
    <w:nsid w:val="16271B2D"/>
    <w:multiLevelType w:val="multilevel"/>
    <w:tmpl w:val="4E0C8FC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165566B1"/>
    <w:multiLevelType w:val="singleLevel"/>
    <w:tmpl w:val="11BE10F4"/>
    <w:lvl w:ilvl="0">
      <w:start w:val="6"/>
      <w:numFmt w:val="decimal"/>
      <w:lvlText w:val="%1."/>
      <w:lvlJc w:val="left"/>
      <w:pPr>
        <w:ind w:left="360" w:hanging="360"/>
      </w:pPr>
      <w:rPr>
        <w:rFonts w:hint="default"/>
        <w:b w:val="0"/>
      </w:rPr>
    </w:lvl>
  </w:abstractNum>
  <w:abstractNum w:abstractNumId="3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1">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32">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33">
    <w:nsid w:val="197D0EB8"/>
    <w:multiLevelType w:val="multilevel"/>
    <w:tmpl w:val="55D65FEE"/>
    <w:numStyleLink w:val="Gliederung2"/>
  </w:abstractNum>
  <w:abstractNum w:abstractNumId="34">
    <w:nsid w:val="1ACC4041"/>
    <w:multiLevelType w:val="multilevel"/>
    <w:tmpl w:val="59C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9A1DE8"/>
    <w:multiLevelType w:val="multilevel"/>
    <w:tmpl w:val="976804DE"/>
    <w:numStyleLink w:val="Gliederung3"/>
  </w:abstractNum>
  <w:abstractNum w:abstractNumId="36">
    <w:nsid w:val="1C1C1D47"/>
    <w:multiLevelType w:val="hybridMultilevel"/>
    <w:tmpl w:val="C34CB4FC"/>
    <w:lvl w:ilvl="0" w:tplc="15247378">
      <w:start w:val="25"/>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1E6E06B5"/>
    <w:multiLevelType w:val="multilevel"/>
    <w:tmpl w:val="55D65FEE"/>
    <w:numStyleLink w:val="Gliederung2"/>
  </w:abstractNum>
  <w:abstractNum w:abstractNumId="38">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39">
    <w:nsid w:val="20336A4E"/>
    <w:multiLevelType w:val="multilevel"/>
    <w:tmpl w:val="55D65FEE"/>
    <w:numStyleLink w:val="Gliederung2"/>
  </w:abstractNum>
  <w:abstractNum w:abstractNumId="40">
    <w:nsid w:val="20C560A3"/>
    <w:multiLevelType w:val="multilevel"/>
    <w:tmpl w:val="55D65FEE"/>
    <w:numStyleLink w:val="Gliederung2"/>
  </w:abstractNum>
  <w:abstractNum w:abstractNumId="41">
    <w:nsid w:val="232D23D3"/>
    <w:multiLevelType w:val="multilevel"/>
    <w:tmpl w:val="976804DE"/>
    <w:numStyleLink w:val="Gliederung3"/>
  </w:abstractNum>
  <w:abstractNum w:abstractNumId="42">
    <w:nsid w:val="23C90466"/>
    <w:multiLevelType w:val="multilevel"/>
    <w:tmpl w:val="55D65FEE"/>
    <w:numStyleLink w:val="Gliederung2"/>
  </w:abstractNum>
  <w:abstractNum w:abstractNumId="43">
    <w:nsid w:val="246F7382"/>
    <w:multiLevelType w:val="multilevel"/>
    <w:tmpl w:val="55D65FEE"/>
    <w:numStyleLink w:val="Gliederung2"/>
  </w:abstractNum>
  <w:abstractNum w:abstractNumId="44">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45">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46">
    <w:nsid w:val="26D737C5"/>
    <w:multiLevelType w:val="multilevel"/>
    <w:tmpl w:val="55D65FEE"/>
    <w:numStyleLink w:val="Gliederung2"/>
  </w:abstractNum>
  <w:abstractNum w:abstractNumId="47">
    <w:nsid w:val="2716396B"/>
    <w:multiLevelType w:val="multilevel"/>
    <w:tmpl w:val="55D65FEE"/>
    <w:numStyleLink w:val="Gliederung2"/>
  </w:abstractNum>
  <w:abstractNum w:abstractNumId="48">
    <w:nsid w:val="28A15410"/>
    <w:multiLevelType w:val="multilevel"/>
    <w:tmpl w:val="55D65FEE"/>
    <w:numStyleLink w:val="Gliederung2"/>
  </w:abstractNum>
  <w:abstractNum w:abstractNumId="49">
    <w:nsid w:val="29CA6EE0"/>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2C7660C8"/>
    <w:multiLevelType w:val="hybridMultilevel"/>
    <w:tmpl w:val="F0E068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2">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nsid w:val="302F2DD7"/>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4">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5">
    <w:nsid w:val="32C6072A"/>
    <w:multiLevelType w:val="multilevel"/>
    <w:tmpl w:val="1F567908"/>
    <w:numStyleLink w:val="Gliederung4"/>
  </w:abstractNum>
  <w:abstractNum w:abstractNumId="56">
    <w:nsid w:val="38001C47"/>
    <w:multiLevelType w:val="multilevel"/>
    <w:tmpl w:val="976804DE"/>
    <w:numStyleLink w:val="Gliederung3"/>
  </w:abstractNum>
  <w:abstractNum w:abstractNumId="57">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8">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59">
    <w:nsid w:val="3E4A5B4E"/>
    <w:multiLevelType w:val="multilevel"/>
    <w:tmpl w:val="55D65FEE"/>
    <w:numStyleLink w:val="Gliederung2"/>
  </w:abstractNum>
  <w:abstractNum w:abstractNumId="6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1">
    <w:nsid w:val="41300C3D"/>
    <w:multiLevelType w:val="multilevel"/>
    <w:tmpl w:val="55D65FEE"/>
    <w:numStyleLink w:val="Gliederung2"/>
  </w:abstractNum>
  <w:abstractNum w:abstractNumId="62">
    <w:nsid w:val="41B33B3B"/>
    <w:multiLevelType w:val="multilevel"/>
    <w:tmpl w:val="976804DE"/>
    <w:numStyleLink w:val="Gliederung3"/>
  </w:abstractNum>
  <w:abstractNum w:abstractNumId="63">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64">
    <w:nsid w:val="453E19FD"/>
    <w:multiLevelType w:val="multilevel"/>
    <w:tmpl w:val="1F567908"/>
    <w:numStyleLink w:val="Gliederung4"/>
  </w:abstractNum>
  <w:abstractNum w:abstractNumId="65">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nsid w:val="4B5673F7"/>
    <w:multiLevelType w:val="multilevel"/>
    <w:tmpl w:val="55D65FEE"/>
    <w:numStyleLink w:val="Gliederung2"/>
  </w:abstractNum>
  <w:abstractNum w:abstractNumId="67">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68">
    <w:nsid w:val="4DA14F6C"/>
    <w:multiLevelType w:val="multilevel"/>
    <w:tmpl w:val="55D65FEE"/>
    <w:numStyleLink w:val="Gliederung2"/>
  </w:abstractNum>
  <w:abstractNum w:abstractNumId="69">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7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1">
    <w:nsid w:val="500876A0"/>
    <w:multiLevelType w:val="multilevel"/>
    <w:tmpl w:val="55D65FEE"/>
    <w:numStyleLink w:val="Gliederung2"/>
  </w:abstractNum>
  <w:abstractNum w:abstractNumId="72">
    <w:nsid w:val="51C671FB"/>
    <w:multiLevelType w:val="multilevel"/>
    <w:tmpl w:val="55D65FEE"/>
    <w:numStyleLink w:val="Gliederung2"/>
  </w:abstractNum>
  <w:abstractNum w:abstractNumId="73">
    <w:nsid w:val="5653044D"/>
    <w:multiLevelType w:val="multilevel"/>
    <w:tmpl w:val="55D65FEE"/>
    <w:numStyleLink w:val="Gliederung2"/>
  </w:abstractNum>
  <w:abstractNum w:abstractNumId="74">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75">
    <w:nsid w:val="575F0DED"/>
    <w:multiLevelType w:val="multilevel"/>
    <w:tmpl w:val="55D65FEE"/>
    <w:numStyleLink w:val="Gliederung2"/>
  </w:abstractNum>
  <w:abstractNum w:abstractNumId="76">
    <w:nsid w:val="57A22875"/>
    <w:multiLevelType w:val="multilevel"/>
    <w:tmpl w:val="55D65FEE"/>
    <w:numStyleLink w:val="Gliederung2"/>
  </w:abstractNum>
  <w:abstractNum w:abstractNumId="77">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78">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79">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0">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81">
    <w:nsid w:val="6AFD3861"/>
    <w:multiLevelType w:val="multilevel"/>
    <w:tmpl w:val="55D65FEE"/>
    <w:numStyleLink w:val="Gliederung2"/>
  </w:abstractNum>
  <w:abstractNum w:abstractNumId="82">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nsid w:val="6BA90646"/>
    <w:multiLevelType w:val="multilevel"/>
    <w:tmpl w:val="55D65FEE"/>
    <w:numStyleLink w:val="Gliederung2"/>
  </w:abstractNum>
  <w:abstractNum w:abstractNumId="84">
    <w:nsid w:val="6D2A331E"/>
    <w:multiLevelType w:val="multilevel"/>
    <w:tmpl w:val="55D65FEE"/>
    <w:numStyleLink w:val="Gliederung2"/>
  </w:abstractNum>
  <w:abstractNum w:abstractNumId="85">
    <w:nsid w:val="6E2B3E81"/>
    <w:multiLevelType w:val="multilevel"/>
    <w:tmpl w:val="55D65FEE"/>
    <w:numStyleLink w:val="Gliederung2"/>
  </w:abstractNum>
  <w:abstractNum w:abstractNumId="86">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87">
    <w:nsid w:val="705366D8"/>
    <w:multiLevelType w:val="multilevel"/>
    <w:tmpl w:val="55D65FEE"/>
    <w:numStyleLink w:val="Gliederung2"/>
  </w:abstractNum>
  <w:abstractNum w:abstractNumId="88">
    <w:nsid w:val="710170D7"/>
    <w:multiLevelType w:val="multilevel"/>
    <w:tmpl w:val="55D65FEE"/>
    <w:numStyleLink w:val="Gliederung2"/>
  </w:abstractNum>
  <w:abstractNum w:abstractNumId="89">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0">
    <w:nsid w:val="74135A0D"/>
    <w:multiLevelType w:val="multilevel"/>
    <w:tmpl w:val="55D65FEE"/>
    <w:numStyleLink w:val="Gliederung2"/>
  </w:abstractNum>
  <w:abstractNum w:abstractNumId="91">
    <w:nsid w:val="74373D76"/>
    <w:multiLevelType w:val="multilevel"/>
    <w:tmpl w:val="55D65FEE"/>
    <w:numStyleLink w:val="Gliederung2"/>
  </w:abstractNum>
  <w:abstractNum w:abstractNumId="92">
    <w:nsid w:val="753C6031"/>
    <w:multiLevelType w:val="multilevel"/>
    <w:tmpl w:val="55D65FEE"/>
    <w:numStyleLink w:val="Gliederung2"/>
  </w:abstractNum>
  <w:abstractNum w:abstractNumId="93">
    <w:nsid w:val="75865BD9"/>
    <w:multiLevelType w:val="multilevel"/>
    <w:tmpl w:val="976804DE"/>
    <w:numStyleLink w:val="Gliederung3"/>
  </w:abstractNum>
  <w:abstractNum w:abstractNumId="94">
    <w:nsid w:val="780811BE"/>
    <w:multiLevelType w:val="multilevel"/>
    <w:tmpl w:val="55D65FEE"/>
    <w:numStyleLink w:val="Gliederung2"/>
  </w:abstractNum>
  <w:abstractNum w:abstractNumId="95">
    <w:nsid w:val="783F640D"/>
    <w:multiLevelType w:val="multilevel"/>
    <w:tmpl w:val="55D65FEE"/>
    <w:numStyleLink w:val="Gliederung2"/>
  </w:abstractNum>
  <w:abstractNum w:abstractNumId="96">
    <w:nsid w:val="791A3EF1"/>
    <w:multiLevelType w:val="multilevel"/>
    <w:tmpl w:val="55D65FEE"/>
    <w:numStyleLink w:val="Gliederung2"/>
  </w:abstractNum>
  <w:abstractNum w:abstractNumId="97">
    <w:nsid w:val="79B56D19"/>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98">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9">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0">
    <w:nsid w:val="7DB26B2C"/>
    <w:multiLevelType w:val="multilevel"/>
    <w:tmpl w:val="55D65FEE"/>
    <w:numStyleLink w:val="Gliederung2"/>
  </w:abstractNum>
  <w:abstractNum w:abstractNumId="101">
    <w:nsid w:val="7F2C17A5"/>
    <w:multiLevelType w:val="multilevel"/>
    <w:tmpl w:val="55D65FEE"/>
    <w:numStyleLink w:val="Gliederung2"/>
  </w:abstractNum>
  <w:num w:numId="1">
    <w:abstractNumId w:val="3"/>
  </w:num>
  <w:num w:numId="2">
    <w:abstractNumId w:val="2"/>
  </w:num>
  <w:num w:numId="3">
    <w:abstractNumId w:val="1"/>
  </w:num>
  <w:num w:numId="4">
    <w:abstractNumId w:val="0"/>
  </w:num>
  <w:num w:numId="5">
    <w:abstractNumId w:val="80"/>
  </w:num>
  <w:num w:numId="6">
    <w:abstractNumId w:val="5"/>
  </w:num>
  <w:num w:numId="7">
    <w:abstractNumId w:val="86"/>
  </w:num>
  <w:num w:numId="8">
    <w:abstractNumId w:val="63"/>
  </w:num>
  <w:num w:numId="9">
    <w:abstractNumId w:val="17"/>
  </w:num>
  <w:num w:numId="10">
    <w:abstractNumId w:val="70"/>
  </w:num>
  <w:num w:numId="11">
    <w:abstractNumId w:val="8"/>
  </w:num>
  <w:num w:numId="12">
    <w:abstractNumId w:val="57"/>
  </w:num>
  <w:num w:numId="13">
    <w:abstractNumId w:val="89"/>
  </w:num>
  <w:num w:numId="14">
    <w:abstractNumId w:val="23"/>
  </w:num>
  <w:num w:numId="15">
    <w:abstractNumId w:val="44"/>
  </w:num>
  <w:num w:numId="16">
    <w:abstractNumId w:val="7"/>
  </w:num>
  <w:num w:numId="17">
    <w:abstractNumId w:val="76"/>
  </w:num>
  <w:num w:numId="18">
    <w:abstractNumId w:val="59"/>
  </w:num>
  <w:num w:numId="19">
    <w:abstractNumId w:val="9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0">
    <w:abstractNumId w:val="77"/>
  </w:num>
  <w:num w:numId="21">
    <w:abstractNumId w:val="43"/>
  </w:num>
  <w:num w:numId="22">
    <w:abstractNumId w:val="19"/>
  </w:num>
  <w:num w:numId="23">
    <w:abstractNumId w:val="46"/>
  </w:num>
  <w:num w:numId="24">
    <w:abstractNumId w:val="68"/>
  </w:num>
  <w:num w:numId="25">
    <w:abstractNumId w:val="33"/>
  </w:num>
  <w:num w:numId="26">
    <w:abstractNumId w:val="91"/>
  </w:num>
  <w:num w:numId="27">
    <w:abstractNumId w:val="85"/>
  </w:num>
  <w:num w:numId="28">
    <w:abstractNumId w:val="41"/>
  </w:num>
  <w:num w:numId="29">
    <w:abstractNumId w:val="4"/>
  </w:num>
  <w:num w:numId="30">
    <w:abstractNumId w:val="52"/>
  </w:num>
  <w:num w:numId="31">
    <w:abstractNumId w:val="35"/>
  </w:num>
  <w:num w:numId="32">
    <w:abstractNumId w:val="21"/>
  </w:num>
  <w:num w:numId="33">
    <w:abstractNumId w:val="71"/>
  </w:num>
  <w:num w:numId="34">
    <w:abstractNumId w:val="87"/>
  </w:num>
  <w:num w:numId="35">
    <w:abstractNumId w:val="95"/>
  </w:num>
  <w:num w:numId="36">
    <w:abstractNumId w:val="47"/>
  </w:num>
  <w:num w:numId="37">
    <w:abstractNumId w:val="16"/>
  </w:num>
  <w:num w:numId="38">
    <w:abstractNumId w:val="40"/>
  </w:num>
  <w:num w:numId="39">
    <w:abstractNumId w:val="24"/>
  </w:num>
  <w:num w:numId="40">
    <w:abstractNumId w:val="84"/>
  </w:num>
  <w:num w:numId="41">
    <w:abstractNumId w:val="56"/>
  </w:num>
  <w:num w:numId="42">
    <w:abstractNumId w:val="75"/>
  </w:num>
  <w:num w:numId="43">
    <w:abstractNumId w:val="73"/>
  </w:num>
  <w:num w:numId="44">
    <w:abstractNumId w:val="96"/>
  </w:num>
  <w:num w:numId="45">
    <w:abstractNumId w:val="42"/>
  </w:num>
  <w:num w:numId="46">
    <w:abstractNumId w:val="81"/>
  </w:num>
  <w:num w:numId="47">
    <w:abstractNumId w:val="66"/>
  </w:num>
  <w:num w:numId="48">
    <w:abstractNumId w:val="14"/>
  </w:num>
  <w:num w:numId="49">
    <w:abstractNumId w:val="29"/>
  </w:num>
  <w:num w:numId="50">
    <w:abstractNumId w:val="31"/>
    <w:lvlOverride w:ilvl="0">
      <w:startOverride w:val="1"/>
    </w:lvlOverride>
  </w:num>
  <w:num w:numId="51">
    <w:abstractNumId w:val="31"/>
  </w:num>
  <w:num w:numId="52">
    <w:abstractNumId w:val="9"/>
  </w:num>
  <w:num w:numId="53">
    <w:abstractNumId w:val="62"/>
  </w:num>
  <w:num w:numId="54">
    <w:abstractNumId w:val="61"/>
  </w:num>
  <w:num w:numId="55">
    <w:abstractNumId w:val="93"/>
  </w:num>
  <w:num w:numId="56">
    <w:abstractNumId w:val="83"/>
  </w:num>
  <w:num w:numId="57">
    <w:abstractNumId w:val="78"/>
  </w:num>
  <w:num w:numId="58">
    <w:abstractNumId w:val="15"/>
  </w:num>
  <w:num w:numId="59">
    <w:abstractNumId w:val="39"/>
  </w:num>
  <w:num w:numId="60">
    <w:abstractNumId w:val="90"/>
  </w:num>
  <w:num w:numId="61">
    <w:abstractNumId w:val="55"/>
  </w:num>
  <w:num w:numId="62">
    <w:abstractNumId w:val="13"/>
  </w:num>
  <w:num w:numId="63">
    <w:abstractNumId w:val="82"/>
  </w:num>
  <w:num w:numId="64">
    <w:abstractNumId w:val="22"/>
  </w:num>
  <w:num w:numId="65">
    <w:abstractNumId w:val="60"/>
  </w:num>
  <w:num w:numId="66">
    <w:abstractNumId w:val="54"/>
  </w:num>
  <w:num w:numId="67">
    <w:abstractNumId w:val="10"/>
  </w:num>
  <w:num w:numId="68">
    <w:abstractNumId w:val="58"/>
  </w:num>
  <w:num w:numId="69">
    <w:abstractNumId w:val="45"/>
  </w:num>
  <w:num w:numId="70">
    <w:abstractNumId w:val="32"/>
  </w:num>
  <w:num w:numId="71">
    <w:abstractNumId w:val="38"/>
  </w:num>
  <w:num w:numId="72">
    <w:abstractNumId w:val="67"/>
  </w:num>
  <w:num w:numId="73">
    <w:abstractNumId w:val="69"/>
  </w:num>
  <w:num w:numId="7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2"/>
  </w:num>
  <w:num w:numId="76">
    <w:abstractNumId w:val="48"/>
  </w:num>
  <w:num w:numId="77">
    <w:abstractNumId w:val="101"/>
  </w:num>
  <w:num w:numId="78">
    <w:abstractNumId w:val="88"/>
  </w:num>
  <w:num w:numId="79">
    <w:abstractNumId w:val="72"/>
  </w:num>
  <w:num w:numId="80">
    <w:abstractNumId w:val="79"/>
  </w:num>
  <w:num w:numId="81">
    <w:abstractNumId w:val="64"/>
  </w:num>
  <w:num w:numId="82">
    <w:abstractNumId w:val="6"/>
  </w:num>
  <w:num w:numId="83">
    <w:abstractNumId w:val="97"/>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8"/>
  </w:num>
  <w:num w:numId="86">
    <w:abstractNumId w:val="74"/>
  </w:num>
  <w:num w:numId="87">
    <w:abstractNumId w:val="50"/>
  </w:num>
  <w:num w:numId="88">
    <w:abstractNumId w:val="26"/>
  </w:num>
  <w:num w:numId="89">
    <w:abstractNumId w:val="65"/>
  </w:num>
  <w:num w:numId="90">
    <w:abstractNumId w:val="12"/>
  </w:num>
  <w:num w:numId="91">
    <w:abstractNumId w:val="99"/>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num>
  <w:num w:numId="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num>
  <w:num w:numId="99">
    <w:abstractNumId w:val="34"/>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8"/>
  </w:num>
  <w:num w:numId="102">
    <w:abstractNumId w:val="76"/>
  </w:num>
  <w:num w:numId="103">
    <w:abstractNumId w:val="11"/>
  </w:num>
  <w:num w:numId="104">
    <w:abstractNumId w:val="27"/>
  </w:num>
  <w:num w:numId="105">
    <w:abstractNumId w:val="30"/>
  </w:num>
  <w:num w:numId="106">
    <w:abstractNumId w:val="53"/>
  </w:num>
  <w:num w:numId="107">
    <w:abstractNumId w:val="25"/>
  </w:num>
  <w:num w:numId="108">
    <w:abstractNumId w:val="36"/>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hideSpellingErrors/>
  <w:stylePaneFormatFilter w:val="0704"/>
  <w:defaultTabStop w:val="862"/>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rsids>
    <w:rsidRoot w:val="001C70D8"/>
    <w:rsid w:val="00000FBD"/>
    <w:rsid w:val="000030D5"/>
    <w:rsid w:val="0000327B"/>
    <w:rsid w:val="00003FE6"/>
    <w:rsid w:val="00004280"/>
    <w:rsid w:val="00004642"/>
    <w:rsid w:val="00004F0D"/>
    <w:rsid w:val="000050D6"/>
    <w:rsid w:val="00005E94"/>
    <w:rsid w:val="00005F63"/>
    <w:rsid w:val="00006773"/>
    <w:rsid w:val="000077D5"/>
    <w:rsid w:val="000107E3"/>
    <w:rsid w:val="00010886"/>
    <w:rsid w:val="00010A26"/>
    <w:rsid w:val="00010B4F"/>
    <w:rsid w:val="00010BCC"/>
    <w:rsid w:val="00012EF4"/>
    <w:rsid w:val="00013A2D"/>
    <w:rsid w:val="00013ECF"/>
    <w:rsid w:val="00014807"/>
    <w:rsid w:val="0001596D"/>
    <w:rsid w:val="00015B20"/>
    <w:rsid w:val="00016DFA"/>
    <w:rsid w:val="0001721F"/>
    <w:rsid w:val="00017688"/>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0D"/>
    <w:rsid w:val="00027642"/>
    <w:rsid w:val="00027DE3"/>
    <w:rsid w:val="00027FE1"/>
    <w:rsid w:val="0003006C"/>
    <w:rsid w:val="00030182"/>
    <w:rsid w:val="000312DF"/>
    <w:rsid w:val="000317A8"/>
    <w:rsid w:val="00031A10"/>
    <w:rsid w:val="0003222B"/>
    <w:rsid w:val="00032239"/>
    <w:rsid w:val="00033264"/>
    <w:rsid w:val="00033E20"/>
    <w:rsid w:val="0003490B"/>
    <w:rsid w:val="00035601"/>
    <w:rsid w:val="000363CE"/>
    <w:rsid w:val="0003660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C29"/>
    <w:rsid w:val="00041DC5"/>
    <w:rsid w:val="00041FDA"/>
    <w:rsid w:val="00042153"/>
    <w:rsid w:val="00042572"/>
    <w:rsid w:val="00042D5A"/>
    <w:rsid w:val="0004309E"/>
    <w:rsid w:val="00043791"/>
    <w:rsid w:val="00043A78"/>
    <w:rsid w:val="00043C28"/>
    <w:rsid w:val="00043E10"/>
    <w:rsid w:val="000441E5"/>
    <w:rsid w:val="000449C7"/>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B70"/>
    <w:rsid w:val="00061E4F"/>
    <w:rsid w:val="0006214D"/>
    <w:rsid w:val="0006245D"/>
    <w:rsid w:val="000626BA"/>
    <w:rsid w:val="00062BF9"/>
    <w:rsid w:val="00062FD1"/>
    <w:rsid w:val="00063942"/>
    <w:rsid w:val="00063A16"/>
    <w:rsid w:val="00063B9F"/>
    <w:rsid w:val="00063EB8"/>
    <w:rsid w:val="00064420"/>
    <w:rsid w:val="000644D0"/>
    <w:rsid w:val="000654BE"/>
    <w:rsid w:val="00065816"/>
    <w:rsid w:val="00065E96"/>
    <w:rsid w:val="0006606C"/>
    <w:rsid w:val="000662D1"/>
    <w:rsid w:val="00066D70"/>
    <w:rsid w:val="00066EAC"/>
    <w:rsid w:val="00067156"/>
    <w:rsid w:val="0006746A"/>
    <w:rsid w:val="00071288"/>
    <w:rsid w:val="00071483"/>
    <w:rsid w:val="00071877"/>
    <w:rsid w:val="000718ED"/>
    <w:rsid w:val="00071AC7"/>
    <w:rsid w:val="00072834"/>
    <w:rsid w:val="00072CA3"/>
    <w:rsid w:val="00073114"/>
    <w:rsid w:val="0007392D"/>
    <w:rsid w:val="00073BB6"/>
    <w:rsid w:val="00074322"/>
    <w:rsid w:val="00074C4C"/>
    <w:rsid w:val="000754B4"/>
    <w:rsid w:val="00076D46"/>
    <w:rsid w:val="00076D7C"/>
    <w:rsid w:val="000776C6"/>
    <w:rsid w:val="00077806"/>
    <w:rsid w:val="00077E2D"/>
    <w:rsid w:val="00080127"/>
    <w:rsid w:val="00080661"/>
    <w:rsid w:val="00080694"/>
    <w:rsid w:val="00080720"/>
    <w:rsid w:val="00080746"/>
    <w:rsid w:val="00081CAA"/>
    <w:rsid w:val="00083200"/>
    <w:rsid w:val="000834DF"/>
    <w:rsid w:val="0008485B"/>
    <w:rsid w:val="0008520B"/>
    <w:rsid w:val="00085359"/>
    <w:rsid w:val="00085656"/>
    <w:rsid w:val="00086043"/>
    <w:rsid w:val="00086F86"/>
    <w:rsid w:val="00087040"/>
    <w:rsid w:val="00090DB3"/>
    <w:rsid w:val="0009170A"/>
    <w:rsid w:val="0009188D"/>
    <w:rsid w:val="00091B17"/>
    <w:rsid w:val="000922CE"/>
    <w:rsid w:val="000925B9"/>
    <w:rsid w:val="00093874"/>
    <w:rsid w:val="00093B6D"/>
    <w:rsid w:val="0009408A"/>
    <w:rsid w:val="00094410"/>
    <w:rsid w:val="0009445A"/>
    <w:rsid w:val="00095345"/>
    <w:rsid w:val="00095E6D"/>
    <w:rsid w:val="0009613A"/>
    <w:rsid w:val="00096252"/>
    <w:rsid w:val="00097230"/>
    <w:rsid w:val="00097238"/>
    <w:rsid w:val="0009741A"/>
    <w:rsid w:val="000978D4"/>
    <w:rsid w:val="000A0E4A"/>
    <w:rsid w:val="000A1038"/>
    <w:rsid w:val="000A13FD"/>
    <w:rsid w:val="000A15B2"/>
    <w:rsid w:val="000A2BBE"/>
    <w:rsid w:val="000A2C52"/>
    <w:rsid w:val="000A3318"/>
    <w:rsid w:val="000A3AD9"/>
    <w:rsid w:val="000A3BCB"/>
    <w:rsid w:val="000A3DB6"/>
    <w:rsid w:val="000A3FD9"/>
    <w:rsid w:val="000A4E9D"/>
    <w:rsid w:val="000A5580"/>
    <w:rsid w:val="000A56F3"/>
    <w:rsid w:val="000A5B6E"/>
    <w:rsid w:val="000A5BA9"/>
    <w:rsid w:val="000A5C89"/>
    <w:rsid w:val="000A6813"/>
    <w:rsid w:val="000A6C5A"/>
    <w:rsid w:val="000A76DB"/>
    <w:rsid w:val="000B069D"/>
    <w:rsid w:val="000B1968"/>
    <w:rsid w:val="000B1CE4"/>
    <w:rsid w:val="000B1FED"/>
    <w:rsid w:val="000B2068"/>
    <w:rsid w:val="000B299B"/>
    <w:rsid w:val="000B2B94"/>
    <w:rsid w:val="000B3010"/>
    <w:rsid w:val="000B3244"/>
    <w:rsid w:val="000B4172"/>
    <w:rsid w:val="000B4B07"/>
    <w:rsid w:val="000B59DB"/>
    <w:rsid w:val="000B5C0E"/>
    <w:rsid w:val="000B715C"/>
    <w:rsid w:val="000B7DAB"/>
    <w:rsid w:val="000B7FE6"/>
    <w:rsid w:val="000C0A00"/>
    <w:rsid w:val="000C0AA6"/>
    <w:rsid w:val="000C0DA4"/>
    <w:rsid w:val="000C1471"/>
    <w:rsid w:val="000C19AB"/>
    <w:rsid w:val="000C2097"/>
    <w:rsid w:val="000C3740"/>
    <w:rsid w:val="000C37F6"/>
    <w:rsid w:val="000C39EF"/>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7FD"/>
    <w:rsid w:val="000D48AE"/>
    <w:rsid w:val="000D5C1B"/>
    <w:rsid w:val="000D6641"/>
    <w:rsid w:val="000D684B"/>
    <w:rsid w:val="000D6A77"/>
    <w:rsid w:val="000D703B"/>
    <w:rsid w:val="000D76A1"/>
    <w:rsid w:val="000D772A"/>
    <w:rsid w:val="000D7B2E"/>
    <w:rsid w:val="000E0266"/>
    <w:rsid w:val="000E08D7"/>
    <w:rsid w:val="000E14FA"/>
    <w:rsid w:val="000E189B"/>
    <w:rsid w:val="000E1A5C"/>
    <w:rsid w:val="000E2A4B"/>
    <w:rsid w:val="000E2CA8"/>
    <w:rsid w:val="000E30DC"/>
    <w:rsid w:val="000E40B9"/>
    <w:rsid w:val="000E54B7"/>
    <w:rsid w:val="000E558D"/>
    <w:rsid w:val="000E56C9"/>
    <w:rsid w:val="000E61CD"/>
    <w:rsid w:val="000E63E2"/>
    <w:rsid w:val="000E675A"/>
    <w:rsid w:val="000E6E64"/>
    <w:rsid w:val="000E6E7B"/>
    <w:rsid w:val="000E76D3"/>
    <w:rsid w:val="000E7D2F"/>
    <w:rsid w:val="000F0003"/>
    <w:rsid w:val="000F0035"/>
    <w:rsid w:val="000F155A"/>
    <w:rsid w:val="000F18E9"/>
    <w:rsid w:val="000F205F"/>
    <w:rsid w:val="000F2087"/>
    <w:rsid w:val="000F273B"/>
    <w:rsid w:val="000F282E"/>
    <w:rsid w:val="000F28AA"/>
    <w:rsid w:val="000F2C2B"/>
    <w:rsid w:val="000F33C3"/>
    <w:rsid w:val="000F3A7D"/>
    <w:rsid w:val="000F4275"/>
    <w:rsid w:val="000F4551"/>
    <w:rsid w:val="000F472B"/>
    <w:rsid w:val="000F4A7B"/>
    <w:rsid w:val="000F4E86"/>
    <w:rsid w:val="000F723A"/>
    <w:rsid w:val="00100EA4"/>
    <w:rsid w:val="00101BF7"/>
    <w:rsid w:val="0010246E"/>
    <w:rsid w:val="00102E37"/>
    <w:rsid w:val="0010334C"/>
    <w:rsid w:val="00103AF9"/>
    <w:rsid w:val="00104D44"/>
    <w:rsid w:val="001050F1"/>
    <w:rsid w:val="0010527E"/>
    <w:rsid w:val="001056D2"/>
    <w:rsid w:val="00105B30"/>
    <w:rsid w:val="00106545"/>
    <w:rsid w:val="00106EE4"/>
    <w:rsid w:val="00107258"/>
    <w:rsid w:val="00107460"/>
    <w:rsid w:val="00107509"/>
    <w:rsid w:val="00107CFB"/>
    <w:rsid w:val="00110116"/>
    <w:rsid w:val="0011045B"/>
    <w:rsid w:val="001105B5"/>
    <w:rsid w:val="001106A8"/>
    <w:rsid w:val="00110BAF"/>
    <w:rsid w:val="001111FB"/>
    <w:rsid w:val="0011132E"/>
    <w:rsid w:val="001117AD"/>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7672"/>
    <w:rsid w:val="00117707"/>
    <w:rsid w:val="0012010B"/>
    <w:rsid w:val="00120410"/>
    <w:rsid w:val="00120DB6"/>
    <w:rsid w:val="00122359"/>
    <w:rsid w:val="0012284D"/>
    <w:rsid w:val="00122D14"/>
    <w:rsid w:val="0012322C"/>
    <w:rsid w:val="00123472"/>
    <w:rsid w:val="00124C0F"/>
    <w:rsid w:val="00125520"/>
    <w:rsid w:val="00127716"/>
    <w:rsid w:val="00127822"/>
    <w:rsid w:val="0013035B"/>
    <w:rsid w:val="00131091"/>
    <w:rsid w:val="00131EAD"/>
    <w:rsid w:val="00132DB7"/>
    <w:rsid w:val="00133FE2"/>
    <w:rsid w:val="0013421A"/>
    <w:rsid w:val="00134852"/>
    <w:rsid w:val="00135352"/>
    <w:rsid w:val="00135452"/>
    <w:rsid w:val="00136627"/>
    <w:rsid w:val="00136CE5"/>
    <w:rsid w:val="00136D54"/>
    <w:rsid w:val="00137849"/>
    <w:rsid w:val="00137BAF"/>
    <w:rsid w:val="00140BA9"/>
    <w:rsid w:val="00142B85"/>
    <w:rsid w:val="00143CA8"/>
    <w:rsid w:val="00144402"/>
    <w:rsid w:val="00144C56"/>
    <w:rsid w:val="00144EAF"/>
    <w:rsid w:val="00145180"/>
    <w:rsid w:val="00145347"/>
    <w:rsid w:val="00145BCF"/>
    <w:rsid w:val="00145D7D"/>
    <w:rsid w:val="00146085"/>
    <w:rsid w:val="0014628D"/>
    <w:rsid w:val="00146861"/>
    <w:rsid w:val="0014694A"/>
    <w:rsid w:val="00146952"/>
    <w:rsid w:val="00146D4E"/>
    <w:rsid w:val="001471CB"/>
    <w:rsid w:val="00147407"/>
    <w:rsid w:val="001477A9"/>
    <w:rsid w:val="00147961"/>
    <w:rsid w:val="001501E7"/>
    <w:rsid w:val="001502D7"/>
    <w:rsid w:val="001508B3"/>
    <w:rsid w:val="0015094D"/>
    <w:rsid w:val="00150A0A"/>
    <w:rsid w:val="0015112D"/>
    <w:rsid w:val="0015296C"/>
    <w:rsid w:val="00152A2C"/>
    <w:rsid w:val="0015301C"/>
    <w:rsid w:val="0015305C"/>
    <w:rsid w:val="0015376C"/>
    <w:rsid w:val="00154199"/>
    <w:rsid w:val="00155116"/>
    <w:rsid w:val="00155413"/>
    <w:rsid w:val="00155A4E"/>
    <w:rsid w:val="00155B9F"/>
    <w:rsid w:val="00155E45"/>
    <w:rsid w:val="00155F14"/>
    <w:rsid w:val="0015610F"/>
    <w:rsid w:val="0015612F"/>
    <w:rsid w:val="00160093"/>
    <w:rsid w:val="00160129"/>
    <w:rsid w:val="00160675"/>
    <w:rsid w:val="00160EBF"/>
    <w:rsid w:val="00161211"/>
    <w:rsid w:val="00162099"/>
    <w:rsid w:val="001620A8"/>
    <w:rsid w:val="00162E4F"/>
    <w:rsid w:val="001631E9"/>
    <w:rsid w:val="0016464A"/>
    <w:rsid w:val="0016502D"/>
    <w:rsid w:val="001656A8"/>
    <w:rsid w:val="00166F9B"/>
    <w:rsid w:val="001673BE"/>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58CA"/>
    <w:rsid w:val="00175E3E"/>
    <w:rsid w:val="00176067"/>
    <w:rsid w:val="00180015"/>
    <w:rsid w:val="00180507"/>
    <w:rsid w:val="00181A6B"/>
    <w:rsid w:val="00181ED1"/>
    <w:rsid w:val="001821F5"/>
    <w:rsid w:val="001821F6"/>
    <w:rsid w:val="001826A4"/>
    <w:rsid w:val="00182927"/>
    <w:rsid w:val="00182D6E"/>
    <w:rsid w:val="0018305E"/>
    <w:rsid w:val="00184E71"/>
    <w:rsid w:val="00184F92"/>
    <w:rsid w:val="001858F7"/>
    <w:rsid w:val="00185B09"/>
    <w:rsid w:val="0018655C"/>
    <w:rsid w:val="00186959"/>
    <w:rsid w:val="00186D05"/>
    <w:rsid w:val="00186EE2"/>
    <w:rsid w:val="001871B3"/>
    <w:rsid w:val="001873D3"/>
    <w:rsid w:val="001875E9"/>
    <w:rsid w:val="001877CE"/>
    <w:rsid w:val="001878CF"/>
    <w:rsid w:val="00187E1B"/>
    <w:rsid w:val="00187FD7"/>
    <w:rsid w:val="001902F7"/>
    <w:rsid w:val="001903DD"/>
    <w:rsid w:val="00191624"/>
    <w:rsid w:val="00192DDF"/>
    <w:rsid w:val="00194049"/>
    <w:rsid w:val="0019449D"/>
    <w:rsid w:val="001944FE"/>
    <w:rsid w:val="00194FF1"/>
    <w:rsid w:val="001950D6"/>
    <w:rsid w:val="00195328"/>
    <w:rsid w:val="00195C00"/>
    <w:rsid w:val="00195FB2"/>
    <w:rsid w:val="001961D6"/>
    <w:rsid w:val="0019647C"/>
    <w:rsid w:val="0019681F"/>
    <w:rsid w:val="00196855"/>
    <w:rsid w:val="00196BD6"/>
    <w:rsid w:val="00196C1F"/>
    <w:rsid w:val="0019715D"/>
    <w:rsid w:val="001973D1"/>
    <w:rsid w:val="00197582"/>
    <w:rsid w:val="00197E46"/>
    <w:rsid w:val="001A0193"/>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A7D0E"/>
    <w:rsid w:val="001B09CF"/>
    <w:rsid w:val="001B257B"/>
    <w:rsid w:val="001B266C"/>
    <w:rsid w:val="001B3440"/>
    <w:rsid w:val="001B3595"/>
    <w:rsid w:val="001B3758"/>
    <w:rsid w:val="001B4046"/>
    <w:rsid w:val="001B47C6"/>
    <w:rsid w:val="001B4B5F"/>
    <w:rsid w:val="001B5394"/>
    <w:rsid w:val="001B56D2"/>
    <w:rsid w:val="001B5D0B"/>
    <w:rsid w:val="001B6D64"/>
    <w:rsid w:val="001B71F9"/>
    <w:rsid w:val="001B7530"/>
    <w:rsid w:val="001B7B93"/>
    <w:rsid w:val="001B7BB7"/>
    <w:rsid w:val="001C088B"/>
    <w:rsid w:val="001C164D"/>
    <w:rsid w:val="001C1BA9"/>
    <w:rsid w:val="001C22F1"/>
    <w:rsid w:val="001C2955"/>
    <w:rsid w:val="001C2AF7"/>
    <w:rsid w:val="001C2EF4"/>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B1"/>
    <w:rsid w:val="001D17FF"/>
    <w:rsid w:val="001D1AEA"/>
    <w:rsid w:val="001D2D91"/>
    <w:rsid w:val="001D2D93"/>
    <w:rsid w:val="001D33DB"/>
    <w:rsid w:val="001D36C8"/>
    <w:rsid w:val="001D48FD"/>
    <w:rsid w:val="001D4964"/>
    <w:rsid w:val="001D6916"/>
    <w:rsid w:val="001D742E"/>
    <w:rsid w:val="001D7DF5"/>
    <w:rsid w:val="001D7F7F"/>
    <w:rsid w:val="001E0A88"/>
    <w:rsid w:val="001E0EE0"/>
    <w:rsid w:val="001E0F58"/>
    <w:rsid w:val="001E11E7"/>
    <w:rsid w:val="001E150A"/>
    <w:rsid w:val="001E1784"/>
    <w:rsid w:val="001E2CF7"/>
    <w:rsid w:val="001E30B6"/>
    <w:rsid w:val="001E464E"/>
    <w:rsid w:val="001E53E3"/>
    <w:rsid w:val="001E53FD"/>
    <w:rsid w:val="001E54C0"/>
    <w:rsid w:val="001E6AB6"/>
    <w:rsid w:val="001E7649"/>
    <w:rsid w:val="001E7884"/>
    <w:rsid w:val="001E7C44"/>
    <w:rsid w:val="001E7F1F"/>
    <w:rsid w:val="001F02B3"/>
    <w:rsid w:val="001F039E"/>
    <w:rsid w:val="001F0511"/>
    <w:rsid w:val="001F08F2"/>
    <w:rsid w:val="001F1606"/>
    <w:rsid w:val="001F1F90"/>
    <w:rsid w:val="001F1FA6"/>
    <w:rsid w:val="001F296E"/>
    <w:rsid w:val="001F3114"/>
    <w:rsid w:val="001F32E3"/>
    <w:rsid w:val="001F3579"/>
    <w:rsid w:val="001F35E8"/>
    <w:rsid w:val="001F4106"/>
    <w:rsid w:val="001F4FA8"/>
    <w:rsid w:val="001F540E"/>
    <w:rsid w:val="001F5D41"/>
    <w:rsid w:val="001F5DA0"/>
    <w:rsid w:val="001F6E62"/>
    <w:rsid w:val="00202A70"/>
    <w:rsid w:val="00202AD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18F2"/>
    <w:rsid w:val="00212CE9"/>
    <w:rsid w:val="002148D0"/>
    <w:rsid w:val="00214E61"/>
    <w:rsid w:val="00215027"/>
    <w:rsid w:val="00215EFE"/>
    <w:rsid w:val="002168D9"/>
    <w:rsid w:val="00216A45"/>
    <w:rsid w:val="00216AC0"/>
    <w:rsid w:val="00216C70"/>
    <w:rsid w:val="00217015"/>
    <w:rsid w:val="00217729"/>
    <w:rsid w:val="0022078A"/>
    <w:rsid w:val="00220AA3"/>
    <w:rsid w:val="00220D50"/>
    <w:rsid w:val="00220E11"/>
    <w:rsid w:val="002218DA"/>
    <w:rsid w:val="00221934"/>
    <w:rsid w:val="002224DA"/>
    <w:rsid w:val="00222D6B"/>
    <w:rsid w:val="00223FFC"/>
    <w:rsid w:val="00224D42"/>
    <w:rsid w:val="002255FC"/>
    <w:rsid w:val="00227ED0"/>
    <w:rsid w:val="00230B67"/>
    <w:rsid w:val="00231208"/>
    <w:rsid w:val="0023121B"/>
    <w:rsid w:val="00232065"/>
    <w:rsid w:val="002322B7"/>
    <w:rsid w:val="00232620"/>
    <w:rsid w:val="00232642"/>
    <w:rsid w:val="00233386"/>
    <w:rsid w:val="0023446E"/>
    <w:rsid w:val="00234CF5"/>
    <w:rsid w:val="00235B8D"/>
    <w:rsid w:val="00235EC6"/>
    <w:rsid w:val="00235FBF"/>
    <w:rsid w:val="00237300"/>
    <w:rsid w:val="00237361"/>
    <w:rsid w:val="00241074"/>
    <w:rsid w:val="00241FF8"/>
    <w:rsid w:val="002433B6"/>
    <w:rsid w:val="00243402"/>
    <w:rsid w:val="00243651"/>
    <w:rsid w:val="00243A19"/>
    <w:rsid w:val="00243BE2"/>
    <w:rsid w:val="00244AF3"/>
    <w:rsid w:val="00244FA8"/>
    <w:rsid w:val="00245122"/>
    <w:rsid w:val="00245530"/>
    <w:rsid w:val="00245BBA"/>
    <w:rsid w:val="00245D56"/>
    <w:rsid w:val="00246754"/>
    <w:rsid w:val="0024745D"/>
    <w:rsid w:val="002479B0"/>
    <w:rsid w:val="0025056A"/>
    <w:rsid w:val="00250BEC"/>
    <w:rsid w:val="00250DEC"/>
    <w:rsid w:val="0025158B"/>
    <w:rsid w:val="00252AAD"/>
    <w:rsid w:val="002531BA"/>
    <w:rsid w:val="00253553"/>
    <w:rsid w:val="002539E0"/>
    <w:rsid w:val="00253A2F"/>
    <w:rsid w:val="00254153"/>
    <w:rsid w:val="00255410"/>
    <w:rsid w:val="00255625"/>
    <w:rsid w:val="002559BE"/>
    <w:rsid w:val="00255D0A"/>
    <w:rsid w:val="002566EC"/>
    <w:rsid w:val="0025756F"/>
    <w:rsid w:val="00257A9B"/>
    <w:rsid w:val="00257C56"/>
    <w:rsid w:val="00260698"/>
    <w:rsid w:val="00260723"/>
    <w:rsid w:val="00261FB9"/>
    <w:rsid w:val="002631CB"/>
    <w:rsid w:val="00263772"/>
    <w:rsid w:val="00263816"/>
    <w:rsid w:val="00263D0E"/>
    <w:rsid w:val="00264C83"/>
    <w:rsid w:val="00264E9E"/>
    <w:rsid w:val="002650F1"/>
    <w:rsid w:val="00265571"/>
    <w:rsid w:val="002658B9"/>
    <w:rsid w:val="00265AED"/>
    <w:rsid w:val="00265B9E"/>
    <w:rsid w:val="00265BA6"/>
    <w:rsid w:val="002660BD"/>
    <w:rsid w:val="0026644B"/>
    <w:rsid w:val="002671DA"/>
    <w:rsid w:val="00267712"/>
    <w:rsid w:val="0026790C"/>
    <w:rsid w:val="00267B79"/>
    <w:rsid w:val="00270F9D"/>
    <w:rsid w:val="0027165B"/>
    <w:rsid w:val="00271A50"/>
    <w:rsid w:val="00271EA3"/>
    <w:rsid w:val="00272457"/>
    <w:rsid w:val="002725EB"/>
    <w:rsid w:val="00272E97"/>
    <w:rsid w:val="00272F3B"/>
    <w:rsid w:val="002730E9"/>
    <w:rsid w:val="00273309"/>
    <w:rsid w:val="00273311"/>
    <w:rsid w:val="002738DC"/>
    <w:rsid w:val="00273B3D"/>
    <w:rsid w:val="00275F8E"/>
    <w:rsid w:val="00276405"/>
    <w:rsid w:val="00276AB7"/>
    <w:rsid w:val="00277679"/>
    <w:rsid w:val="00277F0A"/>
    <w:rsid w:val="00280146"/>
    <w:rsid w:val="0028066D"/>
    <w:rsid w:val="002811F5"/>
    <w:rsid w:val="002818A1"/>
    <w:rsid w:val="00281BDB"/>
    <w:rsid w:val="00282003"/>
    <w:rsid w:val="0028244E"/>
    <w:rsid w:val="002836FB"/>
    <w:rsid w:val="00283C76"/>
    <w:rsid w:val="00283DF1"/>
    <w:rsid w:val="00284845"/>
    <w:rsid w:val="00285295"/>
    <w:rsid w:val="002859E1"/>
    <w:rsid w:val="00285BF3"/>
    <w:rsid w:val="0028627B"/>
    <w:rsid w:val="0028674E"/>
    <w:rsid w:val="00286895"/>
    <w:rsid w:val="00286D56"/>
    <w:rsid w:val="00286FAA"/>
    <w:rsid w:val="00287408"/>
    <w:rsid w:val="0028768A"/>
    <w:rsid w:val="00287761"/>
    <w:rsid w:val="00290096"/>
    <w:rsid w:val="002907A6"/>
    <w:rsid w:val="00290F5E"/>
    <w:rsid w:val="002910BA"/>
    <w:rsid w:val="00291130"/>
    <w:rsid w:val="002911B6"/>
    <w:rsid w:val="00291238"/>
    <w:rsid w:val="002913D7"/>
    <w:rsid w:val="002917D8"/>
    <w:rsid w:val="0029236C"/>
    <w:rsid w:val="002923D3"/>
    <w:rsid w:val="00292410"/>
    <w:rsid w:val="00292496"/>
    <w:rsid w:val="0029273D"/>
    <w:rsid w:val="002930B8"/>
    <w:rsid w:val="00294394"/>
    <w:rsid w:val="0029464D"/>
    <w:rsid w:val="002948F3"/>
    <w:rsid w:val="00294DD6"/>
    <w:rsid w:val="002950F5"/>
    <w:rsid w:val="0029611C"/>
    <w:rsid w:val="002961C7"/>
    <w:rsid w:val="0029647D"/>
    <w:rsid w:val="00296691"/>
    <w:rsid w:val="00296C81"/>
    <w:rsid w:val="002977C5"/>
    <w:rsid w:val="002A0F68"/>
    <w:rsid w:val="002A1065"/>
    <w:rsid w:val="002A1ED0"/>
    <w:rsid w:val="002A1F52"/>
    <w:rsid w:val="002A251A"/>
    <w:rsid w:val="002A27D0"/>
    <w:rsid w:val="002A290C"/>
    <w:rsid w:val="002A37DD"/>
    <w:rsid w:val="002A38C9"/>
    <w:rsid w:val="002A416D"/>
    <w:rsid w:val="002A45AD"/>
    <w:rsid w:val="002A4BDE"/>
    <w:rsid w:val="002A4F31"/>
    <w:rsid w:val="002A5104"/>
    <w:rsid w:val="002A5F61"/>
    <w:rsid w:val="002A75A0"/>
    <w:rsid w:val="002A7864"/>
    <w:rsid w:val="002A7950"/>
    <w:rsid w:val="002A798D"/>
    <w:rsid w:val="002B02D6"/>
    <w:rsid w:val="002B05AC"/>
    <w:rsid w:val="002B0B27"/>
    <w:rsid w:val="002B1B32"/>
    <w:rsid w:val="002B1FA3"/>
    <w:rsid w:val="002B2198"/>
    <w:rsid w:val="002B21F9"/>
    <w:rsid w:val="002B254F"/>
    <w:rsid w:val="002B31B2"/>
    <w:rsid w:val="002B4273"/>
    <w:rsid w:val="002B43F7"/>
    <w:rsid w:val="002B4695"/>
    <w:rsid w:val="002B471C"/>
    <w:rsid w:val="002B4D60"/>
    <w:rsid w:val="002B4EF4"/>
    <w:rsid w:val="002B503B"/>
    <w:rsid w:val="002B54FE"/>
    <w:rsid w:val="002B6514"/>
    <w:rsid w:val="002B6733"/>
    <w:rsid w:val="002B722F"/>
    <w:rsid w:val="002B74C4"/>
    <w:rsid w:val="002B7D08"/>
    <w:rsid w:val="002B7DC7"/>
    <w:rsid w:val="002C00D8"/>
    <w:rsid w:val="002C024E"/>
    <w:rsid w:val="002C240A"/>
    <w:rsid w:val="002C2EF0"/>
    <w:rsid w:val="002C3E7B"/>
    <w:rsid w:val="002C3FBF"/>
    <w:rsid w:val="002C3FFF"/>
    <w:rsid w:val="002C4F06"/>
    <w:rsid w:val="002C660A"/>
    <w:rsid w:val="002C6C89"/>
    <w:rsid w:val="002C6D5B"/>
    <w:rsid w:val="002C6D73"/>
    <w:rsid w:val="002C79CA"/>
    <w:rsid w:val="002C7FEB"/>
    <w:rsid w:val="002D017E"/>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E74"/>
    <w:rsid w:val="002E1310"/>
    <w:rsid w:val="002E1E49"/>
    <w:rsid w:val="002E1EAA"/>
    <w:rsid w:val="002E1F9B"/>
    <w:rsid w:val="002E244B"/>
    <w:rsid w:val="002E2AE0"/>
    <w:rsid w:val="002E2E7C"/>
    <w:rsid w:val="002E3FA7"/>
    <w:rsid w:val="002E4D2A"/>
    <w:rsid w:val="002E4D9E"/>
    <w:rsid w:val="002E5039"/>
    <w:rsid w:val="002E517D"/>
    <w:rsid w:val="002E52B7"/>
    <w:rsid w:val="002E530B"/>
    <w:rsid w:val="002E5410"/>
    <w:rsid w:val="002E5487"/>
    <w:rsid w:val="002E7949"/>
    <w:rsid w:val="002E79DD"/>
    <w:rsid w:val="002E7D07"/>
    <w:rsid w:val="002F1197"/>
    <w:rsid w:val="002F1B3F"/>
    <w:rsid w:val="002F2A76"/>
    <w:rsid w:val="002F357D"/>
    <w:rsid w:val="002F35B3"/>
    <w:rsid w:val="002F370A"/>
    <w:rsid w:val="002F4187"/>
    <w:rsid w:val="002F4A88"/>
    <w:rsid w:val="002F4D29"/>
    <w:rsid w:val="002F5DD1"/>
    <w:rsid w:val="002F5F75"/>
    <w:rsid w:val="002F64C7"/>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D9"/>
    <w:rsid w:val="003111FF"/>
    <w:rsid w:val="00311F2E"/>
    <w:rsid w:val="0031268B"/>
    <w:rsid w:val="003128DA"/>
    <w:rsid w:val="00312A28"/>
    <w:rsid w:val="00312B93"/>
    <w:rsid w:val="00312C7A"/>
    <w:rsid w:val="00312C8C"/>
    <w:rsid w:val="0031306D"/>
    <w:rsid w:val="0031316F"/>
    <w:rsid w:val="0031385A"/>
    <w:rsid w:val="003138A4"/>
    <w:rsid w:val="003145DA"/>
    <w:rsid w:val="00314776"/>
    <w:rsid w:val="00314DB5"/>
    <w:rsid w:val="00315655"/>
    <w:rsid w:val="003157DD"/>
    <w:rsid w:val="0031580E"/>
    <w:rsid w:val="00315905"/>
    <w:rsid w:val="00315C9D"/>
    <w:rsid w:val="0031642F"/>
    <w:rsid w:val="00317143"/>
    <w:rsid w:val="003171E1"/>
    <w:rsid w:val="003178D7"/>
    <w:rsid w:val="0031791C"/>
    <w:rsid w:val="003202E5"/>
    <w:rsid w:val="0032030A"/>
    <w:rsid w:val="00320868"/>
    <w:rsid w:val="003210F6"/>
    <w:rsid w:val="003217B4"/>
    <w:rsid w:val="003245AE"/>
    <w:rsid w:val="0032494F"/>
    <w:rsid w:val="00325506"/>
    <w:rsid w:val="00325D32"/>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411"/>
    <w:rsid w:val="00335973"/>
    <w:rsid w:val="00335B18"/>
    <w:rsid w:val="00335CAD"/>
    <w:rsid w:val="0033672C"/>
    <w:rsid w:val="003375F7"/>
    <w:rsid w:val="00337B4F"/>
    <w:rsid w:val="00337BEA"/>
    <w:rsid w:val="00337C36"/>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478BC"/>
    <w:rsid w:val="00347A81"/>
    <w:rsid w:val="00347ED9"/>
    <w:rsid w:val="003504E3"/>
    <w:rsid w:val="003516B0"/>
    <w:rsid w:val="003516D0"/>
    <w:rsid w:val="00352E19"/>
    <w:rsid w:val="00354233"/>
    <w:rsid w:val="00354AD5"/>
    <w:rsid w:val="00355095"/>
    <w:rsid w:val="00355BAB"/>
    <w:rsid w:val="00356531"/>
    <w:rsid w:val="003578A2"/>
    <w:rsid w:val="00357BD1"/>
    <w:rsid w:val="00357BD7"/>
    <w:rsid w:val="00360129"/>
    <w:rsid w:val="003605B3"/>
    <w:rsid w:val="003611BF"/>
    <w:rsid w:val="00362246"/>
    <w:rsid w:val="003622AD"/>
    <w:rsid w:val="003638FE"/>
    <w:rsid w:val="00363EB8"/>
    <w:rsid w:val="0036445C"/>
    <w:rsid w:val="00365645"/>
    <w:rsid w:val="00365730"/>
    <w:rsid w:val="0036596A"/>
    <w:rsid w:val="00366D46"/>
    <w:rsid w:val="00367A39"/>
    <w:rsid w:val="003703DD"/>
    <w:rsid w:val="00370E2E"/>
    <w:rsid w:val="0037111C"/>
    <w:rsid w:val="00371831"/>
    <w:rsid w:val="00371C6E"/>
    <w:rsid w:val="00372B5E"/>
    <w:rsid w:val="00372E7D"/>
    <w:rsid w:val="0037332E"/>
    <w:rsid w:val="003735E9"/>
    <w:rsid w:val="003739AC"/>
    <w:rsid w:val="00373F1C"/>
    <w:rsid w:val="003743EF"/>
    <w:rsid w:val="003746C4"/>
    <w:rsid w:val="003749D8"/>
    <w:rsid w:val="00375057"/>
    <w:rsid w:val="00375A23"/>
    <w:rsid w:val="00375BC0"/>
    <w:rsid w:val="00375FE4"/>
    <w:rsid w:val="00376031"/>
    <w:rsid w:val="00376656"/>
    <w:rsid w:val="00376982"/>
    <w:rsid w:val="00377945"/>
    <w:rsid w:val="003779F9"/>
    <w:rsid w:val="00377BE6"/>
    <w:rsid w:val="003801F0"/>
    <w:rsid w:val="00380DBF"/>
    <w:rsid w:val="00381C80"/>
    <w:rsid w:val="00382091"/>
    <w:rsid w:val="0038228D"/>
    <w:rsid w:val="0038232E"/>
    <w:rsid w:val="003835FC"/>
    <w:rsid w:val="00383A3E"/>
    <w:rsid w:val="00384250"/>
    <w:rsid w:val="00384355"/>
    <w:rsid w:val="0038449F"/>
    <w:rsid w:val="00384AF3"/>
    <w:rsid w:val="00385B9C"/>
    <w:rsid w:val="00385BE0"/>
    <w:rsid w:val="0038612F"/>
    <w:rsid w:val="0038696A"/>
    <w:rsid w:val="00386A2C"/>
    <w:rsid w:val="00386E91"/>
    <w:rsid w:val="003873D2"/>
    <w:rsid w:val="00387BD7"/>
    <w:rsid w:val="0039004A"/>
    <w:rsid w:val="00391170"/>
    <w:rsid w:val="003919C6"/>
    <w:rsid w:val="00391AA3"/>
    <w:rsid w:val="00391F7E"/>
    <w:rsid w:val="00391F83"/>
    <w:rsid w:val="00392912"/>
    <w:rsid w:val="00392916"/>
    <w:rsid w:val="0039314D"/>
    <w:rsid w:val="00394BBE"/>
    <w:rsid w:val="00394EE2"/>
    <w:rsid w:val="00395553"/>
    <w:rsid w:val="00395D5E"/>
    <w:rsid w:val="00395F25"/>
    <w:rsid w:val="00395F54"/>
    <w:rsid w:val="003962DB"/>
    <w:rsid w:val="0039649B"/>
    <w:rsid w:val="00396570"/>
    <w:rsid w:val="003A0087"/>
    <w:rsid w:val="003A01A7"/>
    <w:rsid w:val="003A0355"/>
    <w:rsid w:val="003A1172"/>
    <w:rsid w:val="003A1775"/>
    <w:rsid w:val="003A2074"/>
    <w:rsid w:val="003A3131"/>
    <w:rsid w:val="003A3BD1"/>
    <w:rsid w:val="003A46DA"/>
    <w:rsid w:val="003A5274"/>
    <w:rsid w:val="003A5C14"/>
    <w:rsid w:val="003A6268"/>
    <w:rsid w:val="003B1A5D"/>
    <w:rsid w:val="003B22EC"/>
    <w:rsid w:val="003B261D"/>
    <w:rsid w:val="003B296F"/>
    <w:rsid w:val="003B2AF6"/>
    <w:rsid w:val="003B30BC"/>
    <w:rsid w:val="003B3879"/>
    <w:rsid w:val="003B45D2"/>
    <w:rsid w:val="003B49E7"/>
    <w:rsid w:val="003B7233"/>
    <w:rsid w:val="003B75FA"/>
    <w:rsid w:val="003B779B"/>
    <w:rsid w:val="003B7E13"/>
    <w:rsid w:val="003B7F2C"/>
    <w:rsid w:val="003C0109"/>
    <w:rsid w:val="003C0544"/>
    <w:rsid w:val="003C0A92"/>
    <w:rsid w:val="003C0D41"/>
    <w:rsid w:val="003C0E0C"/>
    <w:rsid w:val="003C16A3"/>
    <w:rsid w:val="003C1BA6"/>
    <w:rsid w:val="003C20B5"/>
    <w:rsid w:val="003C217E"/>
    <w:rsid w:val="003C22F3"/>
    <w:rsid w:val="003C2829"/>
    <w:rsid w:val="003C2BCD"/>
    <w:rsid w:val="003C2C3F"/>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E02"/>
    <w:rsid w:val="003D062E"/>
    <w:rsid w:val="003D0786"/>
    <w:rsid w:val="003D0AAA"/>
    <w:rsid w:val="003D121D"/>
    <w:rsid w:val="003D16A8"/>
    <w:rsid w:val="003D236C"/>
    <w:rsid w:val="003D27DE"/>
    <w:rsid w:val="003D2E3F"/>
    <w:rsid w:val="003D46B3"/>
    <w:rsid w:val="003D5C14"/>
    <w:rsid w:val="003D5E8F"/>
    <w:rsid w:val="003D6339"/>
    <w:rsid w:val="003D76EE"/>
    <w:rsid w:val="003D7B91"/>
    <w:rsid w:val="003E08C7"/>
    <w:rsid w:val="003E1B68"/>
    <w:rsid w:val="003E2736"/>
    <w:rsid w:val="003E3388"/>
    <w:rsid w:val="003E471E"/>
    <w:rsid w:val="003E4A4F"/>
    <w:rsid w:val="003E4CCD"/>
    <w:rsid w:val="003E4FEB"/>
    <w:rsid w:val="003E65ED"/>
    <w:rsid w:val="003E6C9F"/>
    <w:rsid w:val="003E6CD1"/>
    <w:rsid w:val="003E7383"/>
    <w:rsid w:val="003E77B2"/>
    <w:rsid w:val="003F1013"/>
    <w:rsid w:val="003F1706"/>
    <w:rsid w:val="003F173F"/>
    <w:rsid w:val="003F185F"/>
    <w:rsid w:val="003F2472"/>
    <w:rsid w:val="003F25CF"/>
    <w:rsid w:val="003F27E1"/>
    <w:rsid w:val="003F410B"/>
    <w:rsid w:val="003F4C31"/>
    <w:rsid w:val="003F50A8"/>
    <w:rsid w:val="003F537F"/>
    <w:rsid w:val="003F54A3"/>
    <w:rsid w:val="003F6209"/>
    <w:rsid w:val="003F6931"/>
    <w:rsid w:val="003F7070"/>
    <w:rsid w:val="003F7146"/>
    <w:rsid w:val="003F7C71"/>
    <w:rsid w:val="003F7C7B"/>
    <w:rsid w:val="003F7ECA"/>
    <w:rsid w:val="003F7FF8"/>
    <w:rsid w:val="00400104"/>
    <w:rsid w:val="004002B4"/>
    <w:rsid w:val="0040038C"/>
    <w:rsid w:val="004006C6"/>
    <w:rsid w:val="00400769"/>
    <w:rsid w:val="00400A48"/>
    <w:rsid w:val="00401C1C"/>
    <w:rsid w:val="00402A86"/>
    <w:rsid w:val="00402CAD"/>
    <w:rsid w:val="004034DB"/>
    <w:rsid w:val="00403E19"/>
    <w:rsid w:val="004049DE"/>
    <w:rsid w:val="00404CB5"/>
    <w:rsid w:val="00404F53"/>
    <w:rsid w:val="004053B9"/>
    <w:rsid w:val="00406010"/>
    <w:rsid w:val="00406B42"/>
    <w:rsid w:val="00407163"/>
    <w:rsid w:val="0040717F"/>
    <w:rsid w:val="00407D16"/>
    <w:rsid w:val="00407E4F"/>
    <w:rsid w:val="004108FD"/>
    <w:rsid w:val="00410FCE"/>
    <w:rsid w:val="004110B2"/>
    <w:rsid w:val="00411F8C"/>
    <w:rsid w:val="00412201"/>
    <w:rsid w:val="004123D4"/>
    <w:rsid w:val="00412E9D"/>
    <w:rsid w:val="0041324D"/>
    <w:rsid w:val="004136ED"/>
    <w:rsid w:val="00413882"/>
    <w:rsid w:val="00413F5B"/>
    <w:rsid w:val="00414569"/>
    <w:rsid w:val="004148A2"/>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DEA"/>
    <w:rsid w:val="00423025"/>
    <w:rsid w:val="00423306"/>
    <w:rsid w:val="004234F1"/>
    <w:rsid w:val="004238E8"/>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15"/>
    <w:rsid w:val="00431D96"/>
    <w:rsid w:val="004320F8"/>
    <w:rsid w:val="00432220"/>
    <w:rsid w:val="00432E13"/>
    <w:rsid w:val="00433134"/>
    <w:rsid w:val="004337ED"/>
    <w:rsid w:val="00433B0D"/>
    <w:rsid w:val="00434526"/>
    <w:rsid w:val="00434DB2"/>
    <w:rsid w:val="004360DB"/>
    <w:rsid w:val="004365C1"/>
    <w:rsid w:val="004367BB"/>
    <w:rsid w:val="00436D8C"/>
    <w:rsid w:val="004373BB"/>
    <w:rsid w:val="004405B8"/>
    <w:rsid w:val="00440B20"/>
    <w:rsid w:val="0044196F"/>
    <w:rsid w:val="00442263"/>
    <w:rsid w:val="00442DC9"/>
    <w:rsid w:val="004437EE"/>
    <w:rsid w:val="00443E0E"/>
    <w:rsid w:val="00443E81"/>
    <w:rsid w:val="00444804"/>
    <w:rsid w:val="00444906"/>
    <w:rsid w:val="00444B95"/>
    <w:rsid w:val="00444D81"/>
    <w:rsid w:val="00444EB9"/>
    <w:rsid w:val="004450B8"/>
    <w:rsid w:val="0044574A"/>
    <w:rsid w:val="00445845"/>
    <w:rsid w:val="00445D98"/>
    <w:rsid w:val="00445E3C"/>
    <w:rsid w:val="00446132"/>
    <w:rsid w:val="00446834"/>
    <w:rsid w:val="00446B52"/>
    <w:rsid w:val="00447C32"/>
    <w:rsid w:val="00450649"/>
    <w:rsid w:val="004509D3"/>
    <w:rsid w:val="00450DA5"/>
    <w:rsid w:val="00450E91"/>
    <w:rsid w:val="00451034"/>
    <w:rsid w:val="0045175D"/>
    <w:rsid w:val="00451E23"/>
    <w:rsid w:val="00454A99"/>
    <w:rsid w:val="00454AD3"/>
    <w:rsid w:val="00454EA9"/>
    <w:rsid w:val="00455856"/>
    <w:rsid w:val="0045614B"/>
    <w:rsid w:val="00456CDB"/>
    <w:rsid w:val="00460030"/>
    <w:rsid w:val="004602D8"/>
    <w:rsid w:val="0046042C"/>
    <w:rsid w:val="004606BB"/>
    <w:rsid w:val="004607DD"/>
    <w:rsid w:val="00460908"/>
    <w:rsid w:val="00460C33"/>
    <w:rsid w:val="0046212D"/>
    <w:rsid w:val="004622E0"/>
    <w:rsid w:val="004625AE"/>
    <w:rsid w:val="00462A3D"/>
    <w:rsid w:val="004637A4"/>
    <w:rsid w:val="00465690"/>
    <w:rsid w:val="004658D6"/>
    <w:rsid w:val="00465EBF"/>
    <w:rsid w:val="00466D0F"/>
    <w:rsid w:val="00466DF1"/>
    <w:rsid w:val="004677B1"/>
    <w:rsid w:val="00467A04"/>
    <w:rsid w:val="004700F0"/>
    <w:rsid w:val="004701FA"/>
    <w:rsid w:val="0047021B"/>
    <w:rsid w:val="00470A96"/>
    <w:rsid w:val="00471BFD"/>
    <w:rsid w:val="0047206D"/>
    <w:rsid w:val="00472939"/>
    <w:rsid w:val="00472A8E"/>
    <w:rsid w:val="00472B7C"/>
    <w:rsid w:val="00472E0A"/>
    <w:rsid w:val="004737EC"/>
    <w:rsid w:val="004749F3"/>
    <w:rsid w:val="004749FE"/>
    <w:rsid w:val="00474EEC"/>
    <w:rsid w:val="00474FB4"/>
    <w:rsid w:val="00475613"/>
    <w:rsid w:val="0047575B"/>
    <w:rsid w:val="00475937"/>
    <w:rsid w:val="0047696C"/>
    <w:rsid w:val="00476DCD"/>
    <w:rsid w:val="00477B41"/>
    <w:rsid w:val="00480088"/>
    <w:rsid w:val="0048072C"/>
    <w:rsid w:val="004807DB"/>
    <w:rsid w:val="00482161"/>
    <w:rsid w:val="00482204"/>
    <w:rsid w:val="00482B80"/>
    <w:rsid w:val="00483626"/>
    <w:rsid w:val="00483AEA"/>
    <w:rsid w:val="00483F29"/>
    <w:rsid w:val="0048451A"/>
    <w:rsid w:val="0048464D"/>
    <w:rsid w:val="004848E1"/>
    <w:rsid w:val="00484E62"/>
    <w:rsid w:val="004851E6"/>
    <w:rsid w:val="0048528F"/>
    <w:rsid w:val="00485387"/>
    <w:rsid w:val="004854AD"/>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673D"/>
    <w:rsid w:val="00497C55"/>
    <w:rsid w:val="004A0845"/>
    <w:rsid w:val="004A0C90"/>
    <w:rsid w:val="004A1E64"/>
    <w:rsid w:val="004A2251"/>
    <w:rsid w:val="004A2333"/>
    <w:rsid w:val="004A303E"/>
    <w:rsid w:val="004A45B3"/>
    <w:rsid w:val="004A4637"/>
    <w:rsid w:val="004A49BD"/>
    <w:rsid w:val="004A50FD"/>
    <w:rsid w:val="004A5479"/>
    <w:rsid w:val="004A56FF"/>
    <w:rsid w:val="004A61F7"/>
    <w:rsid w:val="004A6B69"/>
    <w:rsid w:val="004B0D15"/>
    <w:rsid w:val="004B12A2"/>
    <w:rsid w:val="004B1C7B"/>
    <w:rsid w:val="004B386E"/>
    <w:rsid w:val="004B3BA9"/>
    <w:rsid w:val="004B3F4B"/>
    <w:rsid w:val="004B438D"/>
    <w:rsid w:val="004B4827"/>
    <w:rsid w:val="004B4F29"/>
    <w:rsid w:val="004B5770"/>
    <w:rsid w:val="004B5ED5"/>
    <w:rsid w:val="004B6163"/>
    <w:rsid w:val="004B74C2"/>
    <w:rsid w:val="004B755B"/>
    <w:rsid w:val="004B7F23"/>
    <w:rsid w:val="004B7F2E"/>
    <w:rsid w:val="004C06A5"/>
    <w:rsid w:val="004C075E"/>
    <w:rsid w:val="004C0946"/>
    <w:rsid w:val="004C0D1B"/>
    <w:rsid w:val="004C0EB9"/>
    <w:rsid w:val="004C0F2E"/>
    <w:rsid w:val="004C178B"/>
    <w:rsid w:val="004C1AE6"/>
    <w:rsid w:val="004C1D6B"/>
    <w:rsid w:val="004C1F0F"/>
    <w:rsid w:val="004C322A"/>
    <w:rsid w:val="004C3474"/>
    <w:rsid w:val="004C3974"/>
    <w:rsid w:val="004C3A84"/>
    <w:rsid w:val="004C3D57"/>
    <w:rsid w:val="004C4367"/>
    <w:rsid w:val="004C4394"/>
    <w:rsid w:val="004C4828"/>
    <w:rsid w:val="004C4D82"/>
    <w:rsid w:val="004C51C7"/>
    <w:rsid w:val="004C59EE"/>
    <w:rsid w:val="004C5C5E"/>
    <w:rsid w:val="004C5D0E"/>
    <w:rsid w:val="004C6360"/>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CF4"/>
    <w:rsid w:val="004D6095"/>
    <w:rsid w:val="004D65AE"/>
    <w:rsid w:val="004E0766"/>
    <w:rsid w:val="004E0795"/>
    <w:rsid w:val="004E0901"/>
    <w:rsid w:val="004E0C61"/>
    <w:rsid w:val="004E1B4A"/>
    <w:rsid w:val="004E1D6D"/>
    <w:rsid w:val="004E396F"/>
    <w:rsid w:val="004E3E38"/>
    <w:rsid w:val="004E451E"/>
    <w:rsid w:val="004E4AAD"/>
    <w:rsid w:val="004E57F1"/>
    <w:rsid w:val="004E6107"/>
    <w:rsid w:val="004E6263"/>
    <w:rsid w:val="004E6E15"/>
    <w:rsid w:val="004E79CA"/>
    <w:rsid w:val="004F052C"/>
    <w:rsid w:val="004F0659"/>
    <w:rsid w:val="004F08CD"/>
    <w:rsid w:val="004F150B"/>
    <w:rsid w:val="004F1928"/>
    <w:rsid w:val="004F216F"/>
    <w:rsid w:val="004F24AB"/>
    <w:rsid w:val="004F2508"/>
    <w:rsid w:val="004F2FDF"/>
    <w:rsid w:val="004F3064"/>
    <w:rsid w:val="004F3858"/>
    <w:rsid w:val="004F3C4C"/>
    <w:rsid w:val="004F45E9"/>
    <w:rsid w:val="004F6C01"/>
    <w:rsid w:val="004F7E2C"/>
    <w:rsid w:val="005004AC"/>
    <w:rsid w:val="00501D11"/>
    <w:rsid w:val="0050275E"/>
    <w:rsid w:val="005040FD"/>
    <w:rsid w:val="00504CC2"/>
    <w:rsid w:val="00506443"/>
    <w:rsid w:val="005064E9"/>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CE2"/>
    <w:rsid w:val="005165C3"/>
    <w:rsid w:val="00517503"/>
    <w:rsid w:val="005176B4"/>
    <w:rsid w:val="00520C73"/>
    <w:rsid w:val="00520EAC"/>
    <w:rsid w:val="0052175F"/>
    <w:rsid w:val="00521A82"/>
    <w:rsid w:val="00522399"/>
    <w:rsid w:val="00522744"/>
    <w:rsid w:val="00523006"/>
    <w:rsid w:val="0052359B"/>
    <w:rsid w:val="00523A4D"/>
    <w:rsid w:val="00523CBF"/>
    <w:rsid w:val="00524745"/>
    <w:rsid w:val="00524A8A"/>
    <w:rsid w:val="00524E36"/>
    <w:rsid w:val="00524ED9"/>
    <w:rsid w:val="005254C5"/>
    <w:rsid w:val="00526A02"/>
    <w:rsid w:val="005274A8"/>
    <w:rsid w:val="0052750F"/>
    <w:rsid w:val="00527B7A"/>
    <w:rsid w:val="0053093E"/>
    <w:rsid w:val="005311A0"/>
    <w:rsid w:val="005317C2"/>
    <w:rsid w:val="00531938"/>
    <w:rsid w:val="0053209E"/>
    <w:rsid w:val="00532765"/>
    <w:rsid w:val="00532E24"/>
    <w:rsid w:val="00534441"/>
    <w:rsid w:val="005345AC"/>
    <w:rsid w:val="00534AED"/>
    <w:rsid w:val="005358A9"/>
    <w:rsid w:val="005366AB"/>
    <w:rsid w:val="005429B6"/>
    <w:rsid w:val="00542E0C"/>
    <w:rsid w:val="00543BDF"/>
    <w:rsid w:val="0054462B"/>
    <w:rsid w:val="00545777"/>
    <w:rsid w:val="00545799"/>
    <w:rsid w:val="005521CB"/>
    <w:rsid w:val="00552204"/>
    <w:rsid w:val="00552917"/>
    <w:rsid w:val="00553814"/>
    <w:rsid w:val="00553CB1"/>
    <w:rsid w:val="00555AB7"/>
    <w:rsid w:val="005567E3"/>
    <w:rsid w:val="00556E02"/>
    <w:rsid w:val="0055793C"/>
    <w:rsid w:val="005579DA"/>
    <w:rsid w:val="005579FC"/>
    <w:rsid w:val="00557D72"/>
    <w:rsid w:val="00560D70"/>
    <w:rsid w:val="0056233B"/>
    <w:rsid w:val="0056239C"/>
    <w:rsid w:val="005629E1"/>
    <w:rsid w:val="005634E9"/>
    <w:rsid w:val="00563745"/>
    <w:rsid w:val="005640FE"/>
    <w:rsid w:val="0056419F"/>
    <w:rsid w:val="005643C5"/>
    <w:rsid w:val="00564484"/>
    <w:rsid w:val="00564A98"/>
    <w:rsid w:val="00564C22"/>
    <w:rsid w:val="00564FBB"/>
    <w:rsid w:val="00565958"/>
    <w:rsid w:val="00566BAA"/>
    <w:rsid w:val="00567082"/>
    <w:rsid w:val="00570536"/>
    <w:rsid w:val="00570F93"/>
    <w:rsid w:val="005720BB"/>
    <w:rsid w:val="00572C0D"/>
    <w:rsid w:val="00572CA3"/>
    <w:rsid w:val="00573159"/>
    <w:rsid w:val="0057381D"/>
    <w:rsid w:val="00574230"/>
    <w:rsid w:val="00574371"/>
    <w:rsid w:val="005753A0"/>
    <w:rsid w:val="005762AD"/>
    <w:rsid w:val="00576ABB"/>
    <w:rsid w:val="00577604"/>
    <w:rsid w:val="00580DDC"/>
    <w:rsid w:val="00581000"/>
    <w:rsid w:val="00581429"/>
    <w:rsid w:val="0058191A"/>
    <w:rsid w:val="00581DFA"/>
    <w:rsid w:val="0058392F"/>
    <w:rsid w:val="00583D0C"/>
    <w:rsid w:val="00583D10"/>
    <w:rsid w:val="00583D63"/>
    <w:rsid w:val="00583E77"/>
    <w:rsid w:val="005840FA"/>
    <w:rsid w:val="005843C1"/>
    <w:rsid w:val="00584F6C"/>
    <w:rsid w:val="005850FF"/>
    <w:rsid w:val="005855AF"/>
    <w:rsid w:val="00585701"/>
    <w:rsid w:val="005858FD"/>
    <w:rsid w:val="005861D2"/>
    <w:rsid w:val="00586403"/>
    <w:rsid w:val="0058648F"/>
    <w:rsid w:val="0058655D"/>
    <w:rsid w:val="0058683B"/>
    <w:rsid w:val="00586F5B"/>
    <w:rsid w:val="00587664"/>
    <w:rsid w:val="0058773C"/>
    <w:rsid w:val="00587C37"/>
    <w:rsid w:val="00590188"/>
    <w:rsid w:val="00590699"/>
    <w:rsid w:val="00590D1E"/>
    <w:rsid w:val="0059117A"/>
    <w:rsid w:val="0059126E"/>
    <w:rsid w:val="00591416"/>
    <w:rsid w:val="005914F4"/>
    <w:rsid w:val="00591DF9"/>
    <w:rsid w:val="00592138"/>
    <w:rsid w:val="005923FB"/>
    <w:rsid w:val="00592AA2"/>
    <w:rsid w:val="00592E94"/>
    <w:rsid w:val="005932B2"/>
    <w:rsid w:val="005937FE"/>
    <w:rsid w:val="005939E5"/>
    <w:rsid w:val="005941E9"/>
    <w:rsid w:val="00594206"/>
    <w:rsid w:val="005946BF"/>
    <w:rsid w:val="00595328"/>
    <w:rsid w:val="00595417"/>
    <w:rsid w:val="005959C2"/>
    <w:rsid w:val="00596E9B"/>
    <w:rsid w:val="005975E3"/>
    <w:rsid w:val="00597D6B"/>
    <w:rsid w:val="00597E16"/>
    <w:rsid w:val="00597E54"/>
    <w:rsid w:val="005A025C"/>
    <w:rsid w:val="005A0867"/>
    <w:rsid w:val="005A0C11"/>
    <w:rsid w:val="005A28EC"/>
    <w:rsid w:val="005A3181"/>
    <w:rsid w:val="005A3D02"/>
    <w:rsid w:val="005A62ED"/>
    <w:rsid w:val="005A655D"/>
    <w:rsid w:val="005A6D50"/>
    <w:rsid w:val="005A7272"/>
    <w:rsid w:val="005A7361"/>
    <w:rsid w:val="005A7421"/>
    <w:rsid w:val="005A7CD7"/>
    <w:rsid w:val="005A7EE9"/>
    <w:rsid w:val="005B0063"/>
    <w:rsid w:val="005B0082"/>
    <w:rsid w:val="005B0244"/>
    <w:rsid w:val="005B040B"/>
    <w:rsid w:val="005B12CC"/>
    <w:rsid w:val="005B14EC"/>
    <w:rsid w:val="005B18AB"/>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E35"/>
    <w:rsid w:val="005C1FC3"/>
    <w:rsid w:val="005C246C"/>
    <w:rsid w:val="005C2AF9"/>
    <w:rsid w:val="005C348F"/>
    <w:rsid w:val="005C450A"/>
    <w:rsid w:val="005C5486"/>
    <w:rsid w:val="005C56DF"/>
    <w:rsid w:val="005C5711"/>
    <w:rsid w:val="005D0363"/>
    <w:rsid w:val="005D03B1"/>
    <w:rsid w:val="005D0959"/>
    <w:rsid w:val="005D0FD7"/>
    <w:rsid w:val="005D112B"/>
    <w:rsid w:val="005D135B"/>
    <w:rsid w:val="005D1D53"/>
    <w:rsid w:val="005D1E5F"/>
    <w:rsid w:val="005D24EB"/>
    <w:rsid w:val="005D2815"/>
    <w:rsid w:val="005D2D44"/>
    <w:rsid w:val="005D4282"/>
    <w:rsid w:val="005D43A5"/>
    <w:rsid w:val="005D4400"/>
    <w:rsid w:val="005D4EFD"/>
    <w:rsid w:val="005D5C3B"/>
    <w:rsid w:val="005D5EE5"/>
    <w:rsid w:val="005D641B"/>
    <w:rsid w:val="005D64A5"/>
    <w:rsid w:val="005D727F"/>
    <w:rsid w:val="005D7428"/>
    <w:rsid w:val="005D7A11"/>
    <w:rsid w:val="005D7C0E"/>
    <w:rsid w:val="005E01EB"/>
    <w:rsid w:val="005E0A69"/>
    <w:rsid w:val="005E264D"/>
    <w:rsid w:val="005E2810"/>
    <w:rsid w:val="005E327F"/>
    <w:rsid w:val="005E3984"/>
    <w:rsid w:val="005E3C35"/>
    <w:rsid w:val="005E3EAE"/>
    <w:rsid w:val="005E4602"/>
    <w:rsid w:val="005E4D15"/>
    <w:rsid w:val="005E4DB0"/>
    <w:rsid w:val="005E4E64"/>
    <w:rsid w:val="005E4E92"/>
    <w:rsid w:val="005E5A40"/>
    <w:rsid w:val="005E5DAC"/>
    <w:rsid w:val="005E5E9A"/>
    <w:rsid w:val="005E63FA"/>
    <w:rsid w:val="005F04B4"/>
    <w:rsid w:val="005F1486"/>
    <w:rsid w:val="005F21AF"/>
    <w:rsid w:val="005F2517"/>
    <w:rsid w:val="005F290B"/>
    <w:rsid w:val="005F2B95"/>
    <w:rsid w:val="005F2D17"/>
    <w:rsid w:val="005F3464"/>
    <w:rsid w:val="005F3627"/>
    <w:rsid w:val="005F4286"/>
    <w:rsid w:val="005F4C1A"/>
    <w:rsid w:val="005F5202"/>
    <w:rsid w:val="005F5A23"/>
    <w:rsid w:val="005F5FD1"/>
    <w:rsid w:val="005F60E1"/>
    <w:rsid w:val="005F62F7"/>
    <w:rsid w:val="005F64DC"/>
    <w:rsid w:val="005F66E7"/>
    <w:rsid w:val="005F6B0A"/>
    <w:rsid w:val="005F716B"/>
    <w:rsid w:val="005F7188"/>
    <w:rsid w:val="005F7214"/>
    <w:rsid w:val="005F7243"/>
    <w:rsid w:val="005F76FB"/>
    <w:rsid w:val="005F7734"/>
    <w:rsid w:val="00603132"/>
    <w:rsid w:val="00604C79"/>
    <w:rsid w:val="00605348"/>
    <w:rsid w:val="00605570"/>
    <w:rsid w:val="0060570F"/>
    <w:rsid w:val="00605BC1"/>
    <w:rsid w:val="00605E25"/>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43A"/>
    <w:rsid w:val="00612A17"/>
    <w:rsid w:val="00612EF6"/>
    <w:rsid w:val="006134CB"/>
    <w:rsid w:val="00613EAB"/>
    <w:rsid w:val="00614797"/>
    <w:rsid w:val="00615138"/>
    <w:rsid w:val="006160AA"/>
    <w:rsid w:val="00616155"/>
    <w:rsid w:val="0061636C"/>
    <w:rsid w:val="00616D25"/>
    <w:rsid w:val="006171F3"/>
    <w:rsid w:val="00617995"/>
    <w:rsid w:val="006201BB"/>
    <w:rsid w:val="006202E5"/>
    <w:rsid w:val="006206FB"/>
    <w:rsid w:val="006208B3"/>
    <w:rsid w:val="00620A11"/>
    <w:rsid w:val="00620A50"/>
    <w:rsid w:val="006215D1"/>
    <w:rsid w:val="006216AB"/>
    <w:rsid w:val="00621A9C"/>
    <w:rsid w:val="006227F9"/>
    <w:rsid w:val="0062293F"/>
    <w:rsid w:val="006232C2"/>
    <w:rsid w:val="00623EDE"/>
    <w:rsid w:val="00624056"/>
    <w:rsid w:val="00624741"/>
    <w:rsid w:val="0062492B"/>
    <w:rsid w:val="00625821"/>
    <w:rsid w:val="00625B17"/>
    <w:rsid w:val="00626A7B"/>
    <w:rsid w:val="00626A96"/>
    <w:rsid w:val="00626F33"/>
    <w:rsid w:val="0062749A"/>
    <w:rsid w:val="00627D79"/>
    <w:rsid w:val="00627DE5"/>
    <w:rsid w:val="006300FB"/>
    <w:rsid w:val="0063060A"/>
    <w:rsid w:val="006311E6"/>
    <w:rsid w:val="00631D36"/>
    <w:rsid w:val="0063232A"/>
    <w:rsid w:val="0063275F"/>
    <w:rsid w:val="00633076"/>
    <w:rsid w:val="0063390D"/>
    <w:rsid w:val="006340A6"/>
    <w:rsid w:val="006352A4"/>
    <w:rsid w:val="006367B7"/>
    <w:rsid w:val="00636E9E"/>
    <w:rsid w:val="006401FE"/>
    <w:rsid w:val="006402D0"/>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71D"/>
    <w:rsid w:val="00646DEE"/>
    <w:rsid w:val="00647CDC"/>
    <w:rsid w:val="00650C21"/>
    <w:rsid w:val="00651192"/>
    <w:rsid w:val="006515D9"/>
    <w:rsid w:val="0065192C"/>
    <w:rsid w:val="006521B9"/>
    <w:rsid w:val="0065227F"/>
    <w:rsid w:val="00652C2B"/>
    <w:rsid w:val="00653F54"/>
    <w:rsid w:val="00654979"/>
    <w:rsid w:val="0065508E"/>
    <w:rsid w:val="006559F2"/>
    <w:rsid w:val="00655B64"/>
    <w:rsid w:val="00655F91"/>
    <w:rsid w:val="006565B9"/>
    <w:rsid w:val="00656EFA"/>
    <w:rsid w:val="00657383"/>
    <w:rsid w:val="00657755"/>
    <w:rsid w:val="00657D7C"/>
    <w:rsid w:val="00660CCD"/>
    <w:rsid w:val="006622B9"/>
    <w:rsid w:val="00662A3E"/>
    <w:rsid w:val="00662B94"/>
    <w:rsid w:val="00662D96"/>
    <w:rsid w:val="006632D7"/>
    <w:rsid w:val="0066477A"/>
    <w:rsid w:val="00664E11"/>
    <w:rsid w:val="00665027"/>
    <w:rsid w:val="00665A60"/>
    <w:rsid w:val="006666D1"/>
    <w:rsid w:val="00666C57"/>
    <w:rsid w:val="00666F20"/>
    <w:rsid w:val="00667006"/>
    <w:rsid w:val="00667D70"/>
    <w:rsid w:val="00667F23"/>
    <w:rsid w:val="0067032E"/>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3DE"/>
    <w:rsid w:val="0068284B"/>
    <w:rsid w:val="00682AF6"/>
    <w:rsid w:val="0068311F"/>
    <w:rsid w:val="006836BF"/>
    <w:rsid w:val="0068506E"/>
    <w:rsid w:val="006852CA"/>
    <w:rsid w:val="006859F5"/>
    <w:rsid w:val="00685B98"/>
    <w:rsid w:val="00685C58"/>
    <w:rsid w:val="00690667"/>
    <w:rsid w:val="0069066A"/>
    <w:rsid w:val="00690C16"/>
    <w:rsid w:val="00692342"/>
    <w:rsid w:val="00692911"/>
    <w:rsid w:val="00692AD3"/>
    <w:rsid w:val="00693590"/>
    <w:rsid w:val="006939B4"/>
    <w:rsid w:val="00693B65"/>
    <w:rsid w:val="006942B2"/>
    <w:rsid w:val="00694F58"/>
    <w:rsid w:val="00695475"/>
    <w:rsid w:val="006959D6"/>
    <w:rsid w:val="00696284"/>
    <w:rsid w:val="006963FF"/>
    <w:rsid w:val="00696497"/>
    <w:rsid w:val="00696629"/>
    <w:rsid w:val="00696E07"/>
    <w:rsid w:val="00696E11"/>
    <w:rsid w:val="006A02A7"/>
    <w:rsid w:val="006A0A07"/>
    <w:rsid w:val="006A0BEE"/>
    <w:rsid w:val="006A2AA2"/>
    <w:rsid w:val="006A3930"/>
    <w:rsid w:val="006A3F73"/>
    <w:rsid w:val="006A4CEF"/>
    <w:rsid w:val="006A4FFC"/>
    <w:rsid w:val="006A51B7"/>
    <w:rsid w:val="006A56E2"/>
    <w:rsid w:val="006A638E"/>
    <w:rsid w:val="006A64A5"/>
    <w:rsid w:val="006A674B"/>
    <w:rsid w:val="006A6BB0"/>
    <w:rsid w:val="006A6D38"/>
    <w:rsid w:val="006A6D5F"/>
    <w:rsid w:val="006A70B7"/>
    <w:rsid w:val="006A767B"/>
    <w:rsid w:val="006A77F3"/>
    <w:rsid w:val="006A7C0D"/>
    <w:rsid w:val="006B0DD0"/>
    <w:rsid w:val="006B0F40"/>
    <w:rsid w:val="006B1E92"/>
    <w:rsid w:val="006B20AB"/>
    <w:rsid w:val="006B257D"/>
    <w:rsid w:val="006B27A7"/>
    <w:rsid w:val="006B2923"/>
    <w:rsid w:val="006B2A33"/>
    <w:rsid w:val="006B322B"/>
    <w:rsid w:val="006B3A66"/>
    <w:rsid w:val="006B3AA1"/>
    <w:rsid w:val="006B3C23"/>
    <w:rsid w:val="006B41A6"/>
    <w:rsid w:val="006B422C"/>
    <w:rsid w:val="006B452E"/>
    <w:rsid w:val="006B4606"/>
    <w:rsid w:val="006B4692"/>
    <w:rsid w:val="006B479C"/>
    <w:rsid w:val="006B4C60"/>
    <w:rsid w:val="006B4F57"/>
    <w:rsid w:val="006B53A3"/>
    <w:rsid w:val="006B70D6"/>
    <w:rsid w:val="006B7726"/>
    <w:rsid w:val="006B7F61"/>
    <w:rsid w:val="006C036B"/>
    <w:rsid w:val="006C0630"/>
    <w:rsid w:val="006C0972"/>
    <w:rsid w:val="006C1081"/>
    <w:rsid w:val="006C1269"/>
    <w:rsid w:val="006C1665"/>
    <w:rsid w:val="006C2756"/>
    <w:rsid w:val="006C2767"/>
    <w:rsid w:val="006C2B5A"/>
    <w:rsid w:val="006C334B"/>
    <w:rsid w:val="006C357A"/>
    <w:rsid w:val="006C45BB"/>
    <w:rsid w:val="006C48A6"/>
    <w:rsid w:val="006C4C91"/>
    <w:rsid w:val="006C59F1"/>
    <w:rsid w:val="006C621C"/>
    <w:rsid w:val="006C687F"/>
    <w:rsid w:val="006C6D1E"/>
    <w:rsid w:val="006C6E99"/>
    <w:rsid w:val="006C6F58"/>
    <w:rsid w:val="006C7547"/>
    <w:rsid w:val="006C7779"/>
    <w:rsid w:val="006C7DD7"/>
    <w:rsid w:val="006D0083"/>
    <w:rsid w:val="006D0574"/>
    <w:rsid w:val="006D09BB"/>
    <w:rsid w:val="006D1553"/>
    <w:rsid w:val="006D1730"/>
    <w:rsid w:val="006D1BAE"/>
    <w:rsid w:val="006D1C89"/>
    <w:rsid w:val="006D28D4"/>
    <w:rsid w:val="006D3BC9"/>
    <w:rsid w:val="006D3C3F"/>
    <w:rsid w:val="006D46EA"/>
    <w:rsid w:val="006D4A3D"/>
    <w:rsid w:val="006D4B4F"/>
    <w:rsid w:val="006D4FD9"/>
    <w:rsid w:val="006D51C9"/>
    <w:rsid w:val="006D5868"/>
    <w:rsid w:val="006D59E3"/>
    <w:rsid w:val="006D5A8B"/>
    <w:rsid w:val="006D6773"/>
    <w:rsid w:val="006D754A"/>
    <w:rsid w:val="006D7A50"/>
    <w:rsid w:val="006E044E"/>
    <w:rsid w:val="006E1058"/>
    <w:rsid w:val="006E11A3"/>
    <w:rsid w:val="006E160F"/>
    <w:rsid w:val="006E2030"/>
    <w:rsid w:val="006E252B"/>
    <w:rsid w:val="006E25A9"/>
    <w:rsid w:val="006E26D9"/>
    <w:rsid w:val="006E27D1"/>
    <w:rsid w:val="006E2F06"/>
    <w:rsid w:val="006E2FBF"/>
    <w:rsid w:val="006E42FA"/>
    <w:rsid w:val="006E4545"/>
    <w:rsid w:val="006E4A28"/>
    <w:rsid w:val="006E5569"/>
    <w:rsid w:val="006E56CC"/>
    <w:rsid w:val="006E5815"/>
    <w:rsid w:val="006E5C69"/>
    <w:rsid w:val="006E5E70"/>
    <w:rsid w:val="006E6875"/>
    <w:rsid w:val="006E703E"/>
    <w:rsid w:val="006E743A"/>
    <w:rsid w:val="006E79DB"/>
    <w:rsid w:val="006E7BFD"/>
    <w:rsid w:val="006F06F9"/>
    <w:rsid w:val="006F10C0"/>
    <w:rsid w:val="006F1128"/>
    <w:rsid w:val="006F40E4"/>
    <w:rsid w:val="006F41A2"/>
    <w:rsid w:val="006F5CBD"/>
    <w:rsid w:val="006F5E45"/>
    <w:rsid w:val="006F6211"/>
    <w:rsid w:val="006F6296"/>
    <w:rsid w:val="006F68B8"/>
    <w:rsid w:val="006F6D73"/>
    <w:rsid w:val="006F7052"/>
    <w:rsid w:val="006F753F"/>
    <w:rsid w:val="006F7858"/>
    <w:rsid w:val="00700051"/>
    <w:rsid w:val="0070029B"/>
    <w:rsid w:val="0070035B"/>
    <w:rsid w:val="00700967"/>
    <w:rsid w:val="00701373"/>
    <w:rsid w:val="007013C6"/>
    <w:rsid w:val="007015DB"/>
    <w:rsid w:val="00701AF7"/>
    <w:rsid w:val="00703700"/>
    <w:rsid w:val="00703D8C"/>
    <w:rsid w:val="00703F31"/>
    <w:rsid w:val="007045C1"/>
    <w:rsid w:val="0070592C"/>
    <w:rsid w:val="00705931"/>
    <w:rsid w:val="00706259"/>
    <w:rsid w:val="0070792D"/>
    <w:rsid w:val="007103A9"/>
    <w:rsid w:val="00711264"/>
    <w:rsid w:val="007117B1"/>
    <w:rsid w:val="00711C2E"/>
    <w:rsid w:val="007124B3"/>
    <w:rsid w:val="00712ABC"/>
    <w:rsid w:val="0071359F"/>
    <w:rsid w:val="00713C33"/>
    <w:rsid w:val="0071597E"/>
    <w:rsid w:val="00715D03"/>
    <w:rsid w:val="00716354"/>
    <w:rsid w:val="00716BE7"/>
    <w:rsid w:val="00716C92"/>
    <w:rsid w:val="00717471"/>
    <w:rsid w:val="00717865"/>
    <w:rsid w:val="00717AD1"/>
    <w:rsid w:val="00720B1E"/>
    <w:rsid w:val="007231C3"/>
    <w:rsid w:val="00723462"/>
    <w:rsid w:val="0072352B"/>
    <w:rsid w:val="0072384B"/>
    <w:rsid w:val="0072410D"/>
    <w:rsid w:val="0072454B"/>
    <w:rsid w:val="00726E1D"/>
    <w:rsid w:val="0072733C"/>
    <w:rsid w:val="00727B2F"/>
    <w:rsid w:val="00727D13"/>
    <w:rsid w:val="007302FE"/>
    <w:rsid w:val="00730A1A"/>
    <w:rsid w:val="00730BC6"/>
    <w:rsid w:val="00731118"/>
    <w:rsid w:val="00731811"/>
    <w:rsid w:val="00731BD0"/>
    <w:rsid w:val="007326D1"/>
    <w:rsid w:val="00733128"/>
    <w:rsid w:val="0073315C"/>
    <w:rsid w:val="00733948"/>
    <w:rsid w:val="00734D96"/>
    <w:rsid w:val="00734E74"/>
    <w:rsid w:val="00735654"/>
    <w:rsid w:val="00735DDC"/>
    <w:rsid w:val="00735F5B"/>
    <w:rsid w:val="007369F0"/>
    <w:rsid w:val="00737084"/>
    <w:rsid w:val="007377B6"/>
    <w:rsid w:val="00737C4A"/>
    <w:rsid w:val="00737E52"/>
    <w:rsid w:val="007404C8"/>
    <w:rsid w:val="00740B66"/>
    <w:rsid w:val="00740C1F"/>
    <w:rsid w:val="00740C44"/>
    <w:rsid w:val="007418FE"/>
    <w:rsid w:val="0074230A"/>
    <w:rsid w:val="00742726"/>
    <w:rsid w:val="007428B1"/>
    <w:rsid w:val="00742B5E"/>
    <w:rsid w:val="00742F48"/>
    <w:rsid w:val="00743417"/>
    <w:rsid w:val="0074351E"/>
    <w:rsid w:val="00743874"/>
    <w:rsid w:val="00743E88"/>
    <w:rsid w:val="00744462"/>
    <w:rsid w:val="007445DB"/>
    <w:rsid w:val="00744C56"/>
    <w:rsid w:val="00744FAF"/>
    <w:rsid w:val="00746FF4"/>
    <w:rsid w:val="0074711F"/>
    <w:rsid w:val="00747AB2"/>
    <w:rsid w:val="00747D9C"/>
    <w:rsid w:val="007502B7"/>
    <w:rsid w:val="00750422"/>
    <w:rsid w:val="0075084A"/>
    <w:rsid w:val="00750E3B"/>
    <w:rsid w:val="00750F2D"/>
    <w:rsid w:val="0075200B"/>
    <w:rsid w:val="0075287C"/>
    <w:rsid w:val="00752894"/>
    <w:rsid w:val="007532BC"/>
    <w:rsid w:val="00753DBF"/>
    <w:rsid w:val="00754C7E"/>
    <w:rsid w:val="007551BE"/>
    <w:rsid w:val="00755745"/>
    <w:rsid w:val="00755BED"/>
    <w:rsid w:val="00756D41"/>
    <w:rsid w:val="00757136"/>
    <w:rsid w:val="007600AA"/>
    <w:rsid w:val="00760BDE"/>
    <w:rsid w:val="00760DA8"/>
    <w:rsid w:val="00761730"/>
    <w:rsid w:val="0076191B"/>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70021"/>
    <w:rsid w:val="0077031C"/>
    <w:rsid w:val="007705EC"/>
    <w:rsid w:val="00770EAF"/>
    <w:rsid w:val="007712A9"/>
    <w:rsid w:val="00771565"/>
    <w:rsid w:val="00771DC6"/>
    <w:rsid w:val="0077445A"/>
    <w:rsid w:val="007746DC"/>
    <w:rsid w:val="007748D6"/>
    <w:rsid w:val="00775004"/>
    <w:rsid w:val="00775624"/>
    <w:rsid w:val="007762B5"/>
    <w:rsid w:val="007770E8"/>
    <w:rsid w:val="00777379"/>
    <w:rsid w:val="00780236"/>
    <w:rsid w:val="00780620"/>
    <w:rsid w:val="007806E9"/>
    <w:rsid w:val="00780949"/>
    <w:rsid w:val="00780DCD"/>
    <w:rsid w:val="00781465"/>
    <w:rsid w:val="00781E9F"/>
    <w:rsid w:val="0078300A"/>
    <w:rsid w:val="0078359B"/>
    <w:rsid w:val="00783D34"/>
    <w:rsid w:val="00783ED0"/>
    <w:rsid w:val="00784208"/>
    <w:rsid w:val="00784677"/>
    <w:rsid w:val="00784BBD"/>
    <w:rsid w:val="007854AD"/>
    <w:rsid w:val="00785976"/>
    <w:rsid w:val="00785B49"/>
    <w:rsid w:val="00785EA1"/>
    <w:rsid w:val="007860D0"/>
    <w:rsid w:val="007860EC"/>
    <w:rsid w:val="00786111"/>
    <w:rsid w:val="007861E3"/>
    <w:rsid w:val="00786367"/>
    <w:rsid w:val="00786859"/>
    <w:rsid w:val="0078758F"/>
    <w:rsid w:val="00787747"/>
    <w:rsid w:val="0079064E"/>
    <w:rsid w:val="00791435"/>
    <w:rsid w:val="00791849"/>
    <w:rsid w:val="007918FC"/>
    <w:rsid w:val="007922B2"/>
    <w:rsid w:val="00792D8C"/>
    <w:rsid w:val="007934EC"/>
    <w:rsid w:val="007935E6"/>
    <w:rsid w:val="00793ABD"/>
    <w:rsid w:val="00793B01"/>
    <w:rsid w:val="00794253"/>
    <w:rsid w:val="007944C4"/>
    <w:rsid w:val="00794FF1"/>
    <w:rsid w:val="00795B89"/>
    <w:rsid w:val="00795B9F"/>
    <w:rsid w:val="00795EB9"/>
    <w:rsid w:val="0079600C"/>
    <w:rsid w:val="007966A4"/>
    <w:rsid w:val="00796931"/>
    <w:rsid w:val="00797C01"/>
    <w:rsid w:val="00797C76"/>
    <w:rsid w:val="007A07C4"/>
    <w:rsid w:val="007A1F2C"/>
    <w:rsid w:val="007A3124"/>
    <w:rsid w:val="007A35B5"/>
    <w:rsid w:val="007A4240"/>
    <w:rsid w:val="007A4807"/>
    <w:rsid w:val="007A48F8"/>
    <w:rsid w:val="007A4B6B"/>
    <w:rsid w:val="007A4E3A"/>
    <w:rsid w:val="007A56C4"/>
    <w:rsid w:val="007A5A94"/>
    <w:rsid w:val="007A6E7B"/>
    <w:rsid w:val="007A7570"/>
    <w:rsid w:val="007A7DE2"/>
    <w:rsid w:val="007B017E"/>
    <w:rsid w:val="007B049A"/>
    <w:rsid w:val="007B0543"/>
    <w:rsid w:val="007B0599"/>
    <w:rsid w:val="007B0B56"/>
    <w:rsid w:val="007B15B6"/>
    <w:rsid w:val="007B1E95"/>
    <w:rsid w:val="007B2238"/>
    <w:rsid w:val="007B2D6F"/>
    <w:rsid w:val="007B3492"/>
    <w:rsid w:val="007B3A80"/>
    <w:rsid w:val="007B47BD"/>
    <w:rsid w:val="007B4CD1"/>
    <w:rsid w:val="007B5774"/>
    <w:rsid w:val="007B58DA"/>
    <w:rsid w:val="007B5A05"/>
    <w:rsid w:val="007B6078"/>
    <w:rsid w:val="007B69D0"/>
    <w:rsid w:val="007B6D78"/>
    <w:rsid w:val="007B77C5"/>
    <w:rsid w:val="007B799C"/>
    <w:rsid w:val="007C02F5"/>
    <w:rsid w:val="007C0641"/>
    <w:rsid w:val="007C12A6"/>
    <w:rsid w:val="007C13D1"/>
    <w:rsid w:val="007C2733"/>
    <w:rsid w:val="007C2E9C"/>
    <w:rsid w:val="007C45CC"/>
    <w:rsid w:val="007C5588"/>
    <w:rsid w:val="007C5B67"/>
    <w:rsid w:val="007C6274"/>
    <w:rsid w:val="007C6AFD"/>
    <w:rsid w:val="007C6C16"/>
    <w:rsid w:val="007C6FD9"/>
    <w:rsid w:val="007C7129"/>
    <w:rsid w:val="007C7690"/>
    <w:rsid w:val="007C7EB2"/>
    <w:rsid w:val="007D01FB"/>
    <w:rsid w:val="007D070D"/>
    <w:rsid w:val="007D0CAB"/>
    <w:rsid w:val="007D1EA3"/>
    <w:rsid w:val="007D2252"/>
    <w:rsid w:val="007D3262"/>
    <w:rsid w:val="007D40D7"/>
    <w:rsid w:val="007D4100"/>
    <w:rsid w:val="007D45D1"/>
    <w:rsid w:val="007D48CA"/>
    <w:rsid w:val="007D5657"/>
    <w:rsid w:val="007D57E6"/>
    <w:rsid w:val="007D677B"/>
    <w:rsid w:val="007D67A9"/>
    <w:rsid w:val="007D7366"/>
    <w:rsid w:val="007D7756"/>
    <w:rsid w:val="007E10D2"/>
    <w:rsid w:val="007E12F9"/>
    <w:rsid w:val="007E230F"/>
    <w:rsid w:val="007E27D4"/>
    <w:rsid w:val="007E3327"/>
    <w:rsid w:val="007E3735"/>
    <w:rsid w:val="007E3941"/>
    <w:rsid w:val="007E3A95"/>
    <w:rsid w:val="007E4560"/>
    <w:rsid w:val="007E4C4E"/>
    <w:rsid w:val="007E6178"/>
    <w:rsid w:val="007E64E5"/>
    <w:rsid w:val="007E64ED"/>
    <w:rsid w:val="007E6A38"/>
    <w:rsid w:val="007E6D26"/>
    <w:rsid w:val="007E6DB0"/>
    <w:rsid w:val="007E7034"/>
    <w:rsid w:val="007F002D"/>
    <w:rsid w:val="007F038B"/>
    <w:rsid w:val="007F076D"/>
    <w:rsid w:val="007F11BD"/>
    <w:rsid w:val="007F17FB"/>
    <w:rsid w:val="007F2228"/>
    <w:rsid w:val="007F226D"/>
    <w:rsid w:val="007F26EA"/>
    <w:rsid w:val="007F2C4C"/>
    <w:rsid w:val="007F2D2A"/>
    <w:rsid w:val="007F3586"/>
    <w:rsid w:val="007F3614"/>
    <w:rsid w:val="007F365B"/>
    <w:rsid w:val="007F4427"/>
    <w:rsid w:val="007F4FF6"/>
    <w:rsid w:val="007F60A3"/>
    <w:rsid w:val="007F696C"/>
    <w:rsid w:val="007F6ED9"/>
    <w:rsid w:val="007F7577"/>
    <w:rsid w:val="00800355"/>
    <w:rsid w:val="00800D69"/>
    <w:rsid w:val="00801A91"/>
    <w:rsid w:val="00802013"/>
    <w:rsid w:val="00802406"/>
    <w:rsid w:val="00802904"/>
    <w:rsid w:val="008036C2"/>
    <w:rsid w:val="00803BF8"/>
    <w:rsid w:val="0080461E"/>
    <w:rsid w:val="008047A7"/>
    <w:rsid w:val="00804F91"/>
    <w:rsid w:val="00805462"/>
    <w:rsid w:val="00805B51"/>
    <w:rsid w:val="008066F4"/>
    <w:rsid w:val="00807036"/>
    <w:rsid w:val="00807B57"/>
    <w:rsid w:val="00807C1A"/>
    <w:rsid w:val="00807EAB"/>
    <w:rsid w:val="00807F52"/>
    <w:rsid w:val="00810665"/>
    <w:rsid w:val="00810676"/>
    <w:rsid w:val="00811407"/>
    <w:rsid w:val="008115AF"/>
    <w:rsid w:val="008118DD"/>
    <w:rsid w:val="00812D21"/>
    <w:rsid w:val="008131F0"/>
    <w:rsid w:val="00813492"/>
    <w:rsid w:val="00814788"/>
    <w:rsid w:val="0081484E"/>
    <w:rsid w:val="008155E8"/>
    <w:rsid w:val="00815D75"/>
    <w:rsid w:val="00817281"/>
    <w:rsid w:val="00817985"/>
    <w:rsid w:val="00817D0D"/>
    <w:rsid w:val="00817F58"/>
    <w:rsid w:val="00820660"/>
    <w:rsid w:val="00820E84"/>
    <w:rsid w:val="008221CA"/>
    <w:rsid w:val="0082292F"/>
    <w:rsid w:val="00822A76"/>
    <w:rsid w:val="00822D68"/>
    <w:rsid w:val="00823148"/>
    <w:rsid w:val="0082318D"/>
    <w:rsid w:val="008235E0"/>
    <w:rsid w:val="008238F9"/>
    <w:rsid w:val="008239D4"/>
    <w:rsid w:val="00823C26"/>
    <w:rsid w:val="008245C1"/>
    <w:rsid w:val="0082475B"/>
    <w:rsid w:val="00824A73"/>
    <w:rsid w:val="00824E2B"/>
    <w:rsid w:val="0082520F"/>
    <w:rsid w:val="00825408"/>
    <w:rsid w:val="008263F6"/>
    <w:rsid w:val="00826C82"/>
    <w:rsid w:val="00826FE4"/>
    <w:rsid w:val="008272BE"/>
    <w:rsid w:val="00827BD1"/>
    <w:rsid w:val="00832062"/>
    <w:rsid w:val="00832783"/>
    <w:rsid w:val="0083333F"/>
    <w:rsid w:val="008334A0"/>
    <w:rsid w:val="00834122"/>
    <w:rsid w:val="008343A4"/>
    <w:rsid w:val="00834B17"/>
    <w:rsid w:val="008351D4"/>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40D4"/>
    <w:rsid w:val="00844512"/>
    <w:rsid w:val="00844C7B"/>
    <w:rsid w:val="00844FF0"/>
    <w:rsid w:val="00845103"/>
    <w:rsid w:val="008455D0"/>
    <w:rsid w:val="008455EA"/>
    <w:rsid w:val="008457CE"/>
    <w:rsid w:val="0084580A"/>
    <w:rsid w:val="00846277"/>
    <w:rsid w:val="00846C3B"/>
    <w:rsid w:val="008471AB"/>
    <w:rsid w:val="00847482"/>
    <w:rsid w:val="00847B04"/>
    <w:rsid w:val="008507BC"/>
    <w:rsid w:val="0085094C"/>
    <w:rsid w:val="00850AE7"/>
    <w:rsid w:val="00851DE4"/>
    <w:rsid w:val="00852163"/>
    <w:rsid w:val="008523C8"/>
    <w:rsid w:val="00853C04"/>
    <w:rsid w:val="00854646"/>
    <w:rsid w:val="00854E8E"/>
    <w:rsid w:val="008552A8"/>
    <w:rsid w:val="00855C94"/>
    <w:rsid w:val="0085612D"/>
    <w:rsid w:val="008562BB"/>
    <w:rsid w:val="00857053"/>
    <w:rsid w:val="00857AE1"/>
    <w:rsid w:val="00860E56"/>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BE1"/>
    <w:rsid w:val="00867C98"/>
    <w:rsid w:val="008707EE"/>
    <w:rsid w:val="00870C84"/>
    <w:rsid w:val="00870F51"/>
    <w:rsid w:val="0087112F"/>
    <w:rsid w:val="00871519"/>
    <w:rsid w:val="00871603"/>
    <w:rsid w:val="008718DD"/>
    <w:rsid w:val="00872C36"/>
    <w:rsid w:val="00872E35"/>
    <w:rsid w:val="0087307C"/>
    <w:rsid w:val="00873ADF"/>
    <w:rsid w:val="00874020"/>
    <w:rsid w:val="00874912"/>
    <w:rsid w:val="008756FE"/>
    <w:rsid w:val="00875D23"/>
    <w:rsid w:val="008761E4"/>
    <w:rsid w:val="00876BE7"/>
    <w:rsid w:val="00876DED"/>
    <w:rsid w:val="00876F03"/>
    <w:rsid w:val="008773E9"/>
    <w:rsid w:val="0087790D"/>
    <w:rsid w:val="008779E1"/>
    <w:rsid w:val="00877ADB"/>
    <w:rsid w:val="00880B2C"/>
    <w:rsid w:val="00880F7B"/>
    <w:rsid w:val="008812EC"/>
    <w:rsid w:val="008814F3"/>
    <w:rsid w:val="008819F6"/>
    <w:rsid w:val="0088270E"/>
    <w:rsid w:val="00882E08"/>
    <w:rsid w:val="0088349A"/>
    <w:rsid w:val="00885586"/>
    <w:rsid w:val="00886053"/>
    <w:rsid w:val="008860F0"/>
    <w:rsid w:val="00886EAB"/>
    <w:rsid w:val="00886F95"/>
    <w:rsid w:val="00887752"/>
    <w:rsid w:val="00887CE4"/>
    <w:rsid w:val="0089056B"/>
    <w:rsid w:val="00891097"/>
    <w:rsid w:val="008910A7"/>
    <w:rsid w:val="00891B76"/>
    <w:rsid w:val="00891CE5"/>
    <w:rsid w:val="00892B24"/>
    <w:rsid w:val="00892D45"/>
    <w:rsid w:val="00892F5D"/>
    <w:rsid w:val="00892F85"/>
    <w:rsid w:val="0089317B"/>
    <w:rsid w:val="008935C8"/>
    <w:rsid w:val="008936C9"/>
    <w:rsid w:val="0089387D"/>
    <w:rsid w:val="00893A97"/>
    <w:rsid w:val="008957BA"/>
    <w:rsid w:val="008970E8"/>
    <w:rsid w:val="008970F3"/>
    <w:rsid w:val="00897A78"/>
    <w:rsid w:val="00897BD8"/>
    <w:rsid w:val="008A00DE"/>
    <w:rsid w:val="008A05FD"/>
    <w:rsid w:val="008A0D97"/>
    <w:rsid w:val="008A1ADA"/>
    <w:rsid w:val="008A1C40"/>
    <w:rsid w:val="008A235A"/>
    <w:rsid w:val="008A2EA1"/>
    <w:rsid w:val="008A3D8E"/>
    <w:rsid w:val="008A40A6"/>
    <w:rsid w:val="008A4A43"/>
    <w:rsid w:val="008A5548"/>
    <w:rsid w:val="008A55DC"/>
    <w:rsid w:val="008A5A23"/>
    <w:rsid w:val="008A5BF6"/>
    <w:rsid w:val="008A5D9E"/>
    <w:rsid w:val="008A6120"/>
    <w:rsid w:val="008A6277"/>
    <w:rsid w:val="008A6535"/>
    <w:rsid w:val="008A70DD"/>
    <w:rsid w:val="008A736B"/>
    <w:rsid w:val="008A7678"/>
    <w:rsid w:val="008A7994"/>
    <w:rsid w:val="008A7DA2"/>
    <w:rsid w:val="008B04F1"/>
    <w:rsid w:val="008B1C02"/>
    <w:rsid w:val="008B1FFB"/>
    <w:rsid w:val="008B2EAD"/>
    <w:rsid w:val="008B2ECD"/>
    <w:rsid w:val="008B3B04"/>
    <w:rsid w:val="008B4110"/>
    <w:rsid w:val="008B44E8"/>
    <w:rsid w:val="008B4604"/>
    <w:rsid w:val="008B48A8"/>
    <w:rsid w:val="008B4DC1"/>
    <w:rsid w:val="008B5BD0"/>
    <w:rsid w:val="008B5D9F"/>
    <w:rsid w:val="008B62C9"/>
    <w:rsid w:val="008B662D"/>
    <w:rsid w:val="008B7789"/>
    <w:rsid w:val="008B782D"/>
    <w:rsid w:val="008B7A0C"/>
    <w:rsid w:val="008B7EF4"/>
    <w:rsid w:val="008C020B"/>
    <w:rsid w:val="008C080C"/>
    <w:rsid w:val="008C08C7"/>
    <w:rsid w:val="008C140A"/>
    <w:rsid w:val="008C1D6D"/>
    <w:rsid w:val="008C21CA"/>
    <w:rsid w:val="008C2238"/>
    <w:rsid w:val="008C263E"/>
    <w:rsid w:val="008C2F18"/>
    <w:rsid w:val="008C3086"/>
    <w:rsid w:val="008C394D"/>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4847"/>
    <w:rsid w:val="008D534F"/>
    <w:rsid w:val="008D5393"/>
    <w:rsid w:val="008D53FC"/>
    <w:rsid w:val="008D5620"/>
    <w:rsid w:val="008D6ACE"/>
    <w:rsid w:val="008D7521"/>
    <w:rsid w:val="008D7B29"/>
    <w:rsid w:val="008D7E31"/>
    <w:rsid w:val="008E09D9"/>
    <w:rsid w:val="008E0A5C"/>
    <w:rsid w:val="008E1462"/>
    <w:rsid w:val="008E15E5"/>
    <w:rsid w:val="008E1637"/>
    <w:rsid w:val="008E17DB"/>
    <w:rsid w:val="008E2173"/>
    <w:rsid w:val="008E2383"/>
    <w:rsid w:val="008E2CD8"/>
    <w:rsid w:val="008E313C"/>
    <w:rsid w:val="008E38BF"/>
    <w:rsid w:val="008E40AE"/>
    <w:rsid w:val="008E48CA"/>
    <w:rsid w:val="008E4B5A"/>
    <w:rsid w:val="008E5832"/>
    <w:rsid w:val="008E5B5D"/>
    <w:rsid w:val="008E5E1E"/>
    <w:rsid w:val="008E5EA2"/>
    <w:rsid w:val="008E6778"/>
    <w:rsid w:val="008E6942"/>
    <w:rsid w:val="008E6F57"/>
    <w:rsid w:val="008E70E8"/>
    <w:rsid w:val="008F00DC"/>
    <w:rsid w:val="008F0752"/>
    <w:rsid w:val="008F125C"/>
    <w:rsid w:val="008F2834"/>
    <w:rsid w:val="008F2909"/>
    <w:rsid w:val="008F320E"/>
    <w:rsid w:val="008F3A15"/>
    <w:rsid w:val="008F587B"/>
    <w:rsid w:val="008F5DB6"/>
    <w:rsid w:val="008F608E"/>
    <w:rsid w:val="008F6521"/>
    <w:rsid w:val="008F7088"/>
    <w:rsid w:val="008F7F3A"/>
    <w:rsid w:val="0090005F"/>
    <w:rsid w:val="00901230"/>
    <w:rsid w:val="00901276"/>
    <w:rsid w:val="0090221B"/>
    <w:rsid w:val="00902311"/>
    <w:rsid w:val="009027EF"/>
    <w:rsid w:val="0090333B"/>
    <w:rsid w:val="00903434"/>
    <w:rsid w:val="0090379B"/>
    <w:rsid w:val="00903944"/>
    <w:rsid w:val="00903D72"/>
    <w:rsid w:val="009042C1"/>
    <w:rsid w:val="00904E62"/>
    <w:rsid w:val="00905538"/>
    <w:rsid w:val="009057B3"/>
    <w:rsid w:val="00905822"/>
    <w:rsid w:val="009059FF"/>
    <w:rsid w:val="00905BA9"/>
    <w:rsid w:val="009072C1"/>
    <w:rsid w:val="0090752D"/>
    <w:rsid w:val="00907590"/>
    <w:rsid w:val="00907A41"/>
    <w:rsid w:val="009104AC"/>
    <w:rsid w:val="0091097E"/>
    <w:rsid w:val="00910A86"/>
    <w:rsid w:val="00910CAD"/>
    <w:rsid w:val="009119DA"/>
    <w:rsid w:val="009123CC"/>
    <w:rsid w:val="00913047"/>
    <w:rsid w:val="00913336"/>
    <w:rsid w:val="0091454C"/>
    <w:rsid w:val="00915CF5"/>
    <w:rsid w:val="009163B0"/>
    <w:rsid w:val="00916BA7"/>
    <w:rsid w:val="00917DEB"/>
    <w:rsid w:val="0092041D"/>
    <w:rsid w:val="00920890"/>
    <w:rsid w:val="00920B43"/>
    <w:rsid w:val="00921102"/>
    <w:rsid w:val="009211A4"/>
    <w:rsid w:val="009211FD"/>
    <w:rsid w:val="00921C0D"/>
    <w:rsid w:val="00921EDF"/>
    <w:rsid w:val="00922836"/>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C10"/>
    <w:rsid w:val="00930C5B"/>
    <w:rsid w:val="00930EFA"/>
    <w:rsid w:val="009319A0"/>
    <w:rsid w:val="00931D2D"/>
    <w:rsid w:val="009320B7"/>
    <w:rsid w:val="00932A79"/>
    <w:rsid w:val="00932B08"/>
    <w:rsid w:val="00932D61"/>
    <w:rsid w:val="00932FD3"/>
    <w:rsid w:val="0093303F"/>
    <w:rsid w:val="00933086"/>
    <w:rsid w:val="009334D5"/>
    <w:rsid w:val="00935268"/>
    <w:rsid w:val="0093546D"/>
    <w:rsid w:val="009362A2"/>
    <w:rsid w:val="00936866"/>
    <w:rsid w:val="00936E3A"/>
    <w:rsid w:val="0093751F"/>
    <w:rsid w:val="0093753A"/>
    <w:rsid w:val="00937669"/>
    <w:rsid w:val="00937A19"/>
    <w:rsid w:val="0094012F"/>
    <w:rsid w:val="00940430"/>
    <w:rsid w:val="00941206"/>
    <w:rsid w:val="009413E6"/>
    <w:rsid w:val="00941D49"/>
    <w:rsid w:val="00942F55"/>
    <w:rsid w:val="009432B0"/>
    <w:rsid w:val="00943700"/>
    <w:rsid w:val="0094392C"/>
    <w:rsid w:val="00943B3F"/>
    <w:rsid w:val="00944745"/>
    <w:rsid w:val="00944DF4"/>
    <w:rsid w:val="00945BFA"/>
    <w:rsid w:val="0094614E"/>
    <w:rsid w:val="00946C26"/>
    <w:rsid w:val="00946CB3"/>
    <w:rsid w:val="0094739E"/>
    <w:rsid w:val="009476C8"/>
    <w:rsid w:val="009479A6"/>
    <w:rsid w:val="0095051B"/>
    <w:rsid w:val="00950831"/>
    <w:rsid w:val="009509B2"/>
    <w:rsid w:val="00950E29"/>
    <w:rsid w:val="009513DE"/>
    <w:rsid w:val="009527AC"/>
    <w:rsid w:val="00952E2C"/>
    <w:rsid w:val="00953039"/>
    <w:rsid w:val="00953195"/>
    <w:rsid w:val="0095419F"/>
    <w:rsid w:val="00954232"/>
    <w:rsid w:val="0095466A"/>
    <w:rsid w:val="00954BA4"/>
    <w:rsid w:val="00954C35"/>
    <w:rsid w:val="0095525F"/>
    <w:rsid w:val="0095581A"/>
    <w:rsid w:val="009570E3"/>
    <w:rsid w:val="00957750"/>
    <w:rsid w:val="009578E3"/>
    <w:rsid w:val="00957E19"/>
    <w:rsid w:val="009602E4"/>
    <w:rsid w:val="00960D50"/>
    <w:rsid w:val="0096130D"/>
    <w:rsid w:val="009613F5"/>
    <w:rsid w:val="00961691"/>
    <w:rsid w:val="00961940"/>
    <w:rsid w:val="00961C7F"/>
    <w:rsid w:val="00962026"/>
    <w:rsid w:val="00962782"/>
    <w:rsid w:val="00962C52"/>
    <w:rsid w:val="0096393D"/>
    <w:rsid w:val="00964C52"/>
    <w:rsid w:val="00965025"/>
    <w:rsid w:val="0096520B"/>
    <w:rsid w:val="00966825"/>
    <w:rsid w:val="00966E40"/>
    <w:rsid w:val="00967CB5"/>
    <w:rsid w:val="00970981"/>
    <w:rsid w:val="00970F3A"/>
    <w:rsid w:val="009710F1"/>
    <w:rsid w:val="00971245"/>
    <w:rsid w:val="00971440"/>
    <w:rsid w:val="00971828"/>
    <w:rsid w:val="00971B5E"/>
    <w:rsid w:val="009722DC"/>
    <w:rsid w:val="0097260E"/>
    <w:rsid w:val="00972EA9"/>
    <w:rsid w:val="00973A26"/>
    <w:rsid w:val="0097421A"/>
    <w:rsid w:val="0097512B"/>
    <w:rsid w:val="00975200"/>
    <w:rsid w:val="009753F8"/>
    <w:rsid w:val="0097635A"/>
    <w:rsid w:val="00976405"/>
    <w:rsid w:val="00976D7C"/>
    <w:rsid w:val="00976EB2"/>
    <w:rsid w:val="009776B2"/>
    <w:rsid w:val="00977A0B"/>
    <w:rsid w:val="00977DE3"/>
    <w:rsid w:val="00977F12"/>
    <w:rsid w:val="00980C2E"/>
    <w:rsid w:val="009821D2"/>
    <w:rsid w:val="0098404A"/>
    <w:rsid w:val="009855DC"/>
    <w:rsid w:val="00985634"/>
    <w:rsid w:val="00985862"/>
    <w:rsid w:val="00985E08"/>
    <w:rsid w:val="00987517"/>
    <w:rsid w:val="009900A0"/>
    <w:rsid w:val="0099018D"/>
    <w:rsid w:val="00990AF5"/>
    <w:rsid w:val="009912D2"/>
    <w:rsid w:val="009913A6"/>
    <w:rsid w:val="00991A96"/>
    <w:rsid w:val="00991EC8"/>
    <w:rsid w:val="00991FCE"/>
    <w:rsid w:val="00992000"/>
    <w:rsid w:val="00992003"/>
    <w:rsid w:val="009923FD"/>
    <w:rsid w:val="00992903"/>
    <w:rsid w:val="009929AC"/>
    <w:rsid w:val="00992ADB"/>
    <w:rsid w:val="009934E0"/>
    <w:rsid w:val="00993E11"/>
    <w:rsid w:val="00993E62"/>
    <w:rsid w:val="009943BA"/>
    <w:rsid w:val="00994615"/>
    <w:rsid w:val="00994F5F"/>
    <w:rsid w:val="009951B7"/>
    <w:rsid w:val="00995263"/>
    <w:rsid w:val="0099530A"/>
    <w:rsid w:val="00996140"/>
    <w:rsid w:val="00996360"/>
    <w:rsid w:val="00996565"/>
    <w:rsid w:val="00997181"/>
    <w:rsid w:val="009971C0"/>
    <w:rsid w:val="009971EA"/>
    <w:rsid w:val="00997406"/>
    <w:rsid w:val="009A0668"/>
    <w:rsid w:val="009A06B4"/>
    <w:rsid w:val="009A09D6"/>
    <w:rsid w:val="009A0EEC"/>
    <w:rsid w:val="009A1C0C"/>
    <w:rsid w:val="009A1D8C"/>
    <w:rsid w:val="009A1E09"/>
    <w:rsid w:val="009A2278"/>
    <w:rsid w:val="009A282D"/>
    <w:rsid w:val="009A31F1"/>
    <w:rsid w:val="009A3B4A"/>
    <w:rsid w:val="009A40A9"/>
    <w:rsid w:val="009A49D3"/>
    <w:rsid w:val="009A4C59"/>
    <w:rsid w:val="009A6645"/>
    <w:rsid w:val="009A72BF"/>
    <w:rsid w:val="009A7AA4"/>
    <w:rsid w:val="009B0160"/>
    <w:rsid w:val="009B0863"/>
    <w:rsid w:val="009B0864"/>
    <w:rsid w:val="009B0CBB"/>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4477"/>
    <w:rsid w:val="009C52A9"/>
    <w:rsid w:val="009C5BD8"/>
    <w:rsid w:val="009C5C1B"/>
    <w:rsid w:val="009C60BC"/>
    <w:rsid w:val="009C613E"/>
    <w:rsid w:val="009C62A7"/>
    <w:rsid w:val="009C6338"/>
    <w:rsid w:val="009C68AD"/>
    <w:rsid w:val="009C79E1"/>
    <w:rsid w:val="009D1A9D"/>
    <w:rsid w:val="009D1B71"/>
    <w:rsid w:val="009D214C"/>
    <w:rsid w:val="009D25FD"/>
    <w:rsid w:val="009D2783"/>
    <w:rsid w:val="009D36A5"/>
    <w:rsid w:val="009D51F8"/>
    <w:rsid w:val="009D5AC1"/>
    <w:rsid w:val="009D62BD"/>
    <w:rsid w:val="009D6CCD"/>
    <w:rsid w:val="009D6DBD"/>
    <w:rsid w:val="009D7641"/>
    <w:rsid w:val="009E09B7"/>
    <w:rsid w:val="009E0E98"/>
    <w:rsid w:val="009E15FF"/>
    <w:rsid w:val="009E1950"/>
    <w:rsid w:val="009E226F"/>
    <w:rsid w:val="009E350D"/>
    <w:rsid w:val="009E3A22"/>
    <w:rsid w:val="009E3AA6"/>
    <w:rsid w:val="009E434A"/>
    <w:rsid w:val="009E43A8"/>
    <w:rsid w:val="009E51EF"/>
    <w:rsid w:val="009E54A0"/>
    <w:rsid w:val="009E57E5"/>
    <w:rsid w:val="009E5ADF"/>
    <w:rsid w:val="009E5E9A"/>
    <w:rsid w:val="009E632F"/>
    <w:rsid w:val="009E6EC0"/>
    <w:rsid w:val="009E729A"/>
    <w:rsid w:val="009E73D5"/>
    <w:rsid w:val="009E7AC0"/>
    <w:rsid w:val="009F0427"/>
    <w:rsid w:val="009F130F"/>
    <w:rsid w:val="009F150B"/>
    <w:rsid w:val="009F166C"/>
    <w:rsid w:val="009F197E"/>
    <w:rsid w:val="009F1CB1"/>
    <w:rsid w:val="009F259A"/>
    <w:rsid w:val="009F2978"/>
    <w:rsid w:val="009F2A2F"/>
    <w:rsid w:val="009F2CE8"/>
    <w:rsid w:val="009F3043"/>
    <w:rsid w:val="009F340B"/>
    <w:rsid w:val="009F4E34"/>
    <w:rsid w:val="009F4F3F"/>
    <w:rsid w:val="009F663A"/>
    <w:rsid w:val="009F6857"/>
    <w:rsid w:val="009F6F53"/>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5A04"/>
    <w:rsid w:val="00A06068"/>
    <w:rsid w:val="00A0607A"/>
    <w:rsid w:val="00A0662A"/>
    <w:rsid w:val="00A0789F"/>
    <w:rsid w:val="00A1076D"/>
    <w:rsid w:val="00A10C31"/>
    <w:rsid w:val="00A10F21"/>
    <w:rsid w:val="00A11931"/>
    <w:rsid w:val="00A11B79"/>
    <w:rsid w:val="00A11F60"/>
    <w:rsid w:val="00A12B46"/>
    <w:rsid w:val="00A13094"/>
    <w:rsid w:val="00A1442C"/>
    <w:rsid w:val="00A144DF"/>
    <w:rsid w:val="00A14AE8"/>
    <w:rsid w:val="00A14B3A"/>
    <w:rsid w:val="00A15143"/>
    <w:rsid w:val="00A15374"/>
    <w:rsid w:val="00A160B1"/>
    <w:rsid w:val="00A16DF6"/>
    <w:rsid w:val="00A173AC"/>
    <w:rsid w:val="00A17449"/>
    <w:rsid w:val="00A175CD"/>
    <w:rsid w:val="00A1765D"/>
    <w:rsid w:val="00A21586"/>
    <w:rsid w:val="00A21BEA"/>
    <w:rsid w:val="00A22795"/>
    <w:rsid w:val="00A227AA"/>
    <w:rsid w:val="00A23A31"/>
    <w:rsid w:val="00A2403F"/>
    <w:rsid w:val="00A247EC"/>
    <w:rsid w:val="00A24AFC"/>
    <w:rsid w:val="00A24D1A"/>
    <w:rsid w:val="00A256E9"/>
    <w:rsid w:val="00A25C68"/>
    <w:rsid w:val="00A25DC4"/>
    <w:rsid w:val="00A26599"/>
    <w:rsid w:val="00A26CBB"/>
    <w:rsid w:val="00A26FF4"/>
    <w:rsid w:val="00A30093"/>
    <w:rsid w:val="00A30246"/>
    <w:rsid w:val="00A303C1"/>
    <w:rsid w:val="00A3075E"/>
    <w:rsid w:val="00A30A23"/>
    <w:rsid w:val="00A30DF7"/>
    <w:rsid w:val="00A325C4"/>
    <w:rsid w:val="00A326A8"/>
    <w:rsid w:val="00A331A2"/>
    <w:rsid w:val="00A3369E"/>
    <w:rsid w:val="00A33F1D"/>
    <w:rsid w:val="00A34E3A"/>
    <w:rsid w:val="00A352CA"/>
    <w:rsid w:val="00A35404"/>
    <w:rsid w:val="00A35ABD"/>
    <w:rsid w:val="00A35D36"/>
    <w:rsid w:val="00A35DE2"/>
    <w:rsid w:val="00A36839"/>
    <w:rsid w:val="00A36B8C"/>
    <w:rsid w:val="00A375A4"/>
    <w:rsid w:val="00A3780D"/>
    <w:rsid w:val="00A37F6B"/>
    <w:rsid w:val="00A400E7"/>
    <w:rsid w:val="00A40443"/>
    <w:rsid w:val="00A40C14"/>
    <w:rsid w:val="00A40C57"/>
    <w:rsid w:val="00A42425"/>
    <w:rsid w:val="00A42969"/>
    <w:rsid w:val="00A429D3"/>
    <w:rsid w:val="00A42F3E"/>
    <w:rsid w:val="00A430C0"/>
    <w:rsid w:val="00A43AA0"/>
    <w:rsid w:val="00A43DB0"/>
    <w:rsid w:val="00A45040"/>
    <w:rsid w:val="00A45485"/>
    <w:rsid w:val="00A4579A"/>
    <w:rsid w:val="00A45CD9"/>
    <w:rsid w:val="00A45EFC"/>
    <w:rsid w:val="00A47167"/>
    <w:rsid w:val="00A4764D"/>
    <w:rsid w:val="00A47DDF"/>
    <w:rsid w:val="00A5025B"/>
    <w:rsid w:val="00A51152"/>
    <w:rsid w:val="00A51E87"/>
    <w:rsid w:val="00A5200F"/>
    <w:rsid w:val="00A52E30"/>
    <w:rsid w:val="00A53234"/>
    <w:rsid w:val="00A53801"/>
    <w:rsid w:val="00A53939"/>
    <w:rsid w:val="00A544C2"/>
    <w:rsid w:val="00A552F4"/>
    <w:rsid w:val="00A557A4"/>
    <w:rsid w:val="00A55BBA"/>
    <w:rsid w:val="00A56218"/>
    <w:rsid w:val="00A56AAF"/>
    <w:rsid w:val="00A56C0A"/>
    <w:rsid w:val="00A56CD8"/>
    <w:rsid w:val="00A56D35"/>
    <w:rsid w:val="00A56E52"/>
    <w:rsid w:val="00A576D4"/>
    <w:rsid w:val="00A57711"/>
    <w:rsid w:val="00A6051A"/>
    <w:rsid w:val="00A60F32"/>
    <w:rsid w:val="00A61DB0"/>
    <w:rsid w:val="00A6263F"/>
    <w:rsid w:val="00A62879"/>
    <w:rsid w:val="00A632D8"/>
    <w:rsid w:val="00A632E5"/>
    <w:rsid w:val="00A640E5"/>
    <w:rsid w:val="00A64547"/>
    <w:rsid w:val="00A6480B"/>
    <w:rsid w:val="00A64822"/>
    <w:rsid w:val="00A6487D"/>
    <w:rsid w:val="00A649DC"/>
    <w:rsid w:val="00A656C4"/>
    <w:rsid w:val="00A6599C"/>
    <w:rsid w:val="00A65F85"/>
    <w:rsid w:val="00A665B8"/>
    <w:rsid w:val="00A67D54"/>
    <w:rsid w:val="00A70F00"/>
    <w:rsid w:val="00A71376"/>
    <w:rsid w:val="00A71399"/>
    <w:rsid w:val="00A71AC2"/>
    <w:rsid w:val="00A7249C"/>
    <w:rsid w:val="00A72B90"/>
    <w:rsid w:val="00A72E26"/>
    <w:rsid w:val="00A73476"/>
    <w:rsid w:val="00A73598"/>
    <w:rsid w:val="00A73FAA"/>
    <w:rsid w:val="00A740E9"/>
    <w:rsid w:val="00A741AE"/>
    <w:rsid w:val="00A74466"/>
    <w:rsid w:val="00A745BE"/>
    <w:rsid w:val="00A74D5B"/>
    <w:rsid w:val="00A7504C"/>
    <w:rsid w:val="00A752BC"/>
    <w:rsid w:val="00A75586"/>
    <w:rsid w:val="00A755A5"/>
    <w:rsid w:val="00A755EE"/>
    <w:rsid w:val="00A757B4"/>
    <w:rsid w:val="00A75D3B"/>
    <w:rsid w:val="00A75F1A"/>
    <w:rsid w:val="00A75F4B"/>
    <w:rsid w:val="00A75F51"/>
    <w:rsid w:val="00A7726C"/>
    <w:rsid w:val="00A802C9"/>
    <w:rsid w:val="00A8043B"/>
    <w:rsid w:val="00A8089B"/>
    <w:rsid w:val="00A81A5E"/>
    <w:rsid w:val="00A8216C"/>
    <w:rsid w:val="00A823DB"/>
    <w:rsid w:val="00A82F3F"/>
    <w:rsid w:val="00A83094"/>
    <w:rsid w:val="00A84881"/>
    <w:rsid w:val="00A863AF"/>
    <w:rsid w:val="00A86889"/>
    <w:rsid w:val="00A86AA1"/>
    <w:rsid w:val="00A86C54"/>
    <w:rsid w:val="00A9008F"/>
    <w:rsid w:val="00A9038A"/>
    <w:rsid w:val="00A90624"/>
    <w:rsid w:val="00A90B26"/>
    <w:rsid w:val="00A9207F"/>
    <w:rsid w:val="00A9272F"/>
    <w:rsid w:val="00A929D9"/>
    <w:rsid w:val="00A93414"/>
    <w:rsid w:val="00A94592"/>
    <w:rsid w:val="00A945F6"/>
    <w:rsid w:val="00A94D89"/>
    <w:rsid w:val="00A9536F"/>
    <w:rsid w:val="00A95BB0"/>
    <w:rsid w:val="00A961D1"/>
    <w:rsid w:val="00A969B4"/>
    <w:rsid w:val="00AA0C3A"/>
    <w:rsid w:val="00AA0C5A"/>
    <w:rsid w:val="00AA0E49"/>
    <w:rsid w:val="00AA1116"/>
    <w:rsid w:val="00AA13E2"/>
    <w:rsid w:val="00AA2175"/>
    <w:rsid w:val="00AA21D0"/>
    <w:rsid w:val="00AA253C"/>
    <w:rsid w:val="00AA33D0"/>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33E"/>
    <w:rsid w:val="00AB183A"/>
    <w:rsid w:val="00AB1981"/>
    <w:rsid w:val="00AB2FC6"/>
    <w:rsid w:val="00AB466B"/>
    <w:rsid w:val="00AB52FE"/>
    <w:rsid w:val="00AB582E"/>
    <w:rsid w:val="00AB6632"/>
    <w:rsid w:val="00AB6F81"/>
    <w:rsid w:val="00AB7295"/>
    <w:rsid w:val="00AB79A4"/>
    <w:rsid w:val="00AB7A5F"/>
    <w:rsid w:val="00AB7F0D"/>
    <w:rsid w:val="00AC08B4"/>
    <w:rsid w:val="00AC13FC"/>
    <w:rsid w:val="00AC1422"/>
    <w:rsid w:val="00AC17EB"/>
    <w:rsid w:val="00AC1C1A"/>
    <w:rsid w:val="00AC1C65"/>
    <w:rsid w:val="00AC1EE5"/>
    <w:rsid w:val="00AC1F59"/>
    <w:rsid w:val="00AC2A1F"/>
    <w:rsid w:val="00AC3D8E"/>
    <w:rsid w:val="00AC3F50"/>
    <w:rsid w:val="00AC425A"/>
    <w:rsid w:val="00AC4550"/>
    <w:rsid w:val="00AC4CBF"/>
    <w:rsid w:val="00AC53F0"/>
    <w:rsid w:val="00AC5555"/>
    <w:rsid w:val="00AC6383"/>
    <w:rsid w:val="00AC7F09"/>
    <w:rsid w:val="00AD0413"/>
    <w:rsid w:val="00AD07E5"/>
    <w:rsid w:val="00AD0EDF"/>
    <w:rsid w:val="00AD15B8"/>
    <w:rsid w:val="00AD39AD"/>
    <w:rsid w:val="00AD3CD0"/>
    <w:rsid w:val="00AD4407"/>
    <w:rsid w:val="00AD471B"/>
    <w:rsid w:val="00AD4A53"/>
    <w:rsid w:val="00AD4D86"/>
    <w:rsid w:val="00AD53CB"/>
    <w:rsid w:val="00AD55BE"/>
    <w:rsid w:val="00AD59C3"/>
    <w:rsid w:val="00AD5D7C"/>
    <w:rsid w:val="00AD5E6C"/>
    <w:rsid w:val="00AD61FD"/>
    <w:rsid w:val="00AD6B7F"/>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61B"/>
    <w:rsid w:val="00AE7EF1"/>
    <w:rsid w:val="00AF02D4"/>
    <w:rsid w:val="00AF0FE1"/>
    <w:rsid w:val="00AF16D7"/>
    <w:rsid w:val="00AF2AA6"/>
    <w:rsid w:val="00AF38A8"/>
    <w:rsid w:val="00AF3C39"/>
    <w:rsid w:val="00AF6AD9"/>
    <w:rsid w:val="00AF71C9"/>
    <w:rsid w:val="00AF7438"/>
    <w:rsid w:val="00AF7B6D"/>
    <w:rsid w:val="00B00191"/>
    <w:rsid w:val="00B01000"/>
    <w:rsid w:val="00B01245"/>
    <w:rsid w:val="00B01C48"/>
    <w:rsid w:val="00B01F3E"/>
    <w:rsid w:val="00B01F8B"/>
    <w:rsid w:val="00B02BF6"/>
    <w:rsid w:val="00B03106"/>
    <w:rsid w:val="00B0324E"/>
    <w:rsid w:val="00B03503"/>
    <w:rsid w:val="00B03510"/>
    <w:rsid w:val="00B03569"/>
    <w:rsid w:val="00B03B2A"/>
    <w:rsid w:val="00B03E63"/>
    <w:rsid w:val="00B03F49"/>
    <w:rsid w:val="00B049C8"/>
    <w:rsid w:val="00B074FF"/>
    <w:rsid w:val="00B0752A"/>
    <w:rsid w:val="00B07700"/>
    <w:rsid w:val="00B0789C"/>
    <w:rsid w:val="00B1071A"/>
    <w:rsid w:val="00B10F76"/>
    <w:rsid w:val="00B11927"/>
    <w:rsid w:val="00B11F28"/>
    <w:rsid w:val="00B11F2E"/>
    <w:rsid w:val="00B123D2"/>
    <w:rsid w:val="00B12E0B"/>
    <w:rsid w:val="00B15850"/>
    <w:rsid w:val="00B158A9"/>
    <w:rsid w:val="00B15AA1"/>
    <w:rsid w:val="00B15C16"/>
    <w:rsid w:val="00B15F05"/>
    <w:rsid w:val="00B161ED"/>
    <w:rsid w:val="00B16C10"/>
    <w:rsid w:val="00B16D51"/>
    <w:rsid w:val="00B200EA"/>
    <w:rsid w:val="00B202C3"/>
    <w:rsid w:val="00B20397"/>
    <w:rsid w:val="00B2076E"/>
    <w:rsid w:val="00B20928"/>
    <w:rsid w:val="00B20E8E"/>
    <w:rsid w:val="00B21D97"/>
    <w:rsid w:val="00B21D9B"/>
    <w:rsid w:val="00B22A07"/>
    <w:rsid w:val="00B245B0"/>
    <w:rsid w:val="00B24959"/>
    <w:rsid w:val="00B250E4"/>
    <w:rsid w:val="00B254E5"/>
    <w:rsid w:val="00B26CB9"/>
    <w:rsid w:val="00B26D8E"/>
    <w:rsid w:val="00B2722E"/>
    <w:rsid w:val="00B276FB"/>
    <w:rsid w:val="00B277CC"/>
    <w:rsid w:val="00B301AF"/>
    <w:rsid w:val="00B3029B"/>
    <w:rsid w:val="00B30EFF"/>
    <w:rsid w:val="00B31332"/>
    <w:rsid w:val="00B32801"/>
    <w:rsid w:val="00B33379"/>
    <w:rsid w:val="00B3390A"/>
    <w:rsid w:val="00B33C1A"/>
    <w:rsid w:val="00B34329"/>
    <w:rsid w:val="00B34CB9"/>
    <w:rsid w:val="00B34F55"/>
    <w:rsid w:val="00B35987"/>
    <w:rsid w:val="00B36436"/>
    <w:rsid w:val="00B36BF2"/>
    <w:rsid w:val="00B3744E"/>
    <w:rsid w:val="00B377C2"/>
    <w:rsid w:val="00B37F3C"/>
    <w:rsid w:val="00B402B0"/>
    <w:rsid w:val="00B4148E"/>
    <w:rsid w:val="00B4159B"/>
    <w:rsid w:val="00B41AB6"/>
    <w:rsid w:val="00B42051"/>
    <w:rsid w:val="00B428A8"/>
    <w:rsid w:val="00B42A51"/>
    <w:rsid w:val="00B42D1D"/>
    <w:rsid w:val="00B43B38"/>
    <w:rsid w:val="00B43DDF"/>
    <w:rsid w:val="00B44DA6"/>
    <w:rsid w:val="00B45250"/>
    <w:rsid w:val="00B45359"/>
    <w:rsid w:val="00B454E9"/>
    <w:rsid w:val="00B45721"/>
    <w:rsid w:val="00B45743"/>
    <w:rsid w:val="00B4604D"/>
    <w:rsid w:val="00B461EF"/>
    <w:rsid w:val="00B46969"/>
    <w:rsid w:val="00B46F38"/>
    <w:rsid w:val="00B47623"/>
    <w:rsid w:val="00B4773A"/>
    <w:rsid w:val="00B50202"/>
    <w:rsid w:val="00B50382"/>
    <w:rsid w:val="00B51EC8"/>
    <w:rsid w:val="00B5233A"/>
    <w:rsid w:val="00B523EE"/>
    <w:rsid w:val="00B528B0"/>
    <w:rsid w:val="00B529CC"/>
    <w:rsid w:val="00B52E45"/>
    <w:rsid w:val="00B5326A"/>
    <w:rsid w:val="00B533AD"/>
    <w:rsid w:val="00B547BB"/>
    <w:rsid w:val="00B54A12"/>
    <w:rsid w:val="00B54AE4"/>
    <w:rsid w:val="00B55109"/>
    <w:rsid w:val="00B551E7"/>
    <w:rsid w:val="00B55ABF"/>
    <w:rsid w:val="00B55B84"/>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F9A"/>
    <w:rsid w:val="00B700FB"/>
    <w:rsid w:val="00B70385"/>
    <w:rsid w:val="00B70A41"/>
    <w:rsid w:val="00B70A92"/>
    <w:rsid w:val="00B71AF8"/>
    <w:rsid w:val="00B71E55"/>
    <w:rsid w:val="00B72178"/>
    <w:rsid w:val="00B72C85"/>
    <w:rsid w:val="00B73A9A"/>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005"/>
    <w:rsid w:val="00B83D08"/>
    <w:rsid w:val="00B83F64"/>
    <w:rsid w:val="00B84221"/>
    <w:rsid w:val="00B84875"/>
    <w:rsid w:val="00B84E27"/>
    <w:rsid w:val="00B858D0"/>
    <w:rsid w:val="00B859C3"/>
    <w:rsid w:val="00B85A25"/>
    <w:rsid w:val="00B8674B"/>
    <w:rsid w:val="00B86845"/>
    <w:rsid w:val="00B86F34"/>
    <w:rsid w:val="00B870F2"/>
    <w:rsid w:val="00B90087"/>
    <w:rsid w:val="00B90AB9"/>
    <w:rsid w:val="00B90BE9"/>
    <w:rsid w:val="00B9102D"/>
    <w:rsid w:val="00B9125E"/>
    <w:rsid w:val="00B9180C"/>
    <w:rsid w:val="00B91E93"/>
    <w:rsid w:val="00B923B8"/>
    <w:rsid w:val="00B9309F"/>
    <w:rsid w:val="00B938BC"/>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F2D"/>
    <w:rsid w:val="00BA4593"/>
    <w:rsid w:val="00BA45E8"/>
    <w:rsid w:val="00BA4A7F"/>
    <w:rsid w:val="00BA5033"/>
    <w:rsid w:val="00BA5AF9"/>
    <w:rsid w:val="00BA5F2E"/>
    <w:rsid w:val="00BA6D8A"/>
    <w:rsid w:val="00BA6EE2"/>
    <w:rsid w:val="00BA7224"/>
    <w:rsid w:val="00BA7B4A"/>
    <w:rsid w:val="00BA7C1D"/>
    <w:rsid w:val="00BB01A0"/>
    <w:rsid w:val="00BB0306"/>
    <w:rsid w:val="00BB1B8B"/>
    <w:rsid w:val="00BB2F3E"/>
    <w:rsid w:val="00BB3280"/>
    <w:rsid w:val="00BB3805"/>
    <w:rsid w:val="00BB393C"/>
    <w:rsid w:val="00BB437F"/>
    <w:rsid w:val="00BB4D2E"/>
    <w:rsid w:val="00BB4EFE"/>
    <w:rsid w:val="00BB52A3"/>
    <w:rsid w:val="00BB55F0"/>
    <w:rsid w:val="00BB5ED2"/>
    <w:rsid w:val="00BB6D52"/>
    <w:rsid w:val="00BB6F4E"/>
    <w:rsid w:val="00BB7193"/>
    <w:rsid w:val="00BB7553"/>
    <w:rsid w:val="00BB755D"/>
    <w:rsid w:val="00BB7DC7"/>
    <w:rsid w:val="00BC007C"/>
    <w:rsid w:val="00BC01B5"/>
    <w:rsid w:val="00BC0395"/>
    <w:rsid w:val="00BC0429"/>
    <w:rsid w:val="00BC102A"/>
    <w:rsid w:val="00BC132F"/>
    <w:rsid w:val="00BC1633"/>
    <w:rsid w:val="00BC16C2"/>
    <w:rsid w:val="00BC1936"/>
    <w:rsid w:val="00BC1CED"/>
    <w:rsid w:val="00BC1E31"/>
    <w:rsid w:val="00BC2559"/>
    <w:rsid w:val="00BC2903"/>
    <w:rsid w:val="00BC2B8F"/>
    <w:rsid w:val="00BC3085"/>
    <w:rsid w:val="00BC3B3D"/>
    <w:rsid w:val="00BC4641"/>
    <w:rsid w:val="00BC508A"/>
    <w:rsid w:val="00BC63F1"/>
    <w:rsid w:val="00BC6701"/>
    <w:rsid w:val="00BC7269"/>
    <w:rsid w:val="00BC7381"/>
    <w:rsid w:val="00BC7A4E"/>
    <w:rsid w:val="00BC7BB2"/>
    <w:rsid w:val="00BC7C45"/>
    <w:rsid w:val="00BD0EB0"/>
    <w:rsid w:val="00BD0F70"/>
    <w:rsid w:val="00BD13AA"/>
    <w:rsid w:val="00BD17F2"/>
    <w:rsid w:val="00BD2B7E"/>
    <w:rsid w:val="00BD2BDD"/>
    <w:rsid w:val="00BD3268"/>
    <w:rsid w:val="00BD37B6"/>
    <w:rsid w:val="00BD3D7D"/>
    <w:rsid w:val="00BD4513"/>
    <w:rsid w:val="00BD480D"/>
    <w:rsid w:val="00BD4C79"/>
    <w:rsid w:val="00BD544B"/>
    <w:rsid w:val="00BD55B7"/>
    <w:rsid w:val="00BD5831"/>
    <w:rsid w:val="00BD5AAF"/>
    <w:rsid w:val="00BD639B"/>
    <w:rsid w:val="00BD73A9"/>
    <w:rsid w:val="00BD7AAB"/>
    <w:rsid w:val="00BD7FE4"/>
    <w:rsid w:val="00BE0271"/>
    <w:rsid w:val="00BE0441"/>
    <w:rsid w:val="00BE05FC"/>
    <w:rsid w:val="00BE071F"/>
    <w:rsid w:val="00BE159F"/>
    <w:rsid w:val="00BE194F"/>
    <w:rsid w:val="00BE2125"/>
    <w:rsid w:val="00BE27CF"/>
    <w:rsid w:val="00BE2EA0"/>
    <w:rsid w:val="00BE3020"/>
    <w:rsid w:val="00BE339A"/>
    <w:rsid w:val="00BE3561"/>
    <w:rsid w:val="00BE425D"/>
    <w:rsid w:val="00BE598B"/>
    <w:rsid w:val="00BE5DEE"/>
    <w:rsid w:val="00BE67EC"/>
    <w:rsid w:val="00BE6E1D"/>
    <w:rsid w:val="00BE759E"/>
    <w:rsid w:val="00BE7638"/>
    <w:rsid w:val="00BE7D57"/>
    <w:rsid w:val="00BF07CF"/>
    <w:rsid w:val="00BF0B43"/>
    <w:rsid w:val="00BF0E62"/>
    <w:rsid w:val="00BF0E71"/>
    <w:rsid w:val="00BF1E4E"/>
    <w:rsid w:val="00BF1F4D"/>
    <w:rsid w:val="00BF1FC2"/>
    <w:rsid w:val="00BF28F1"/>
    <w:rsid w:val="00BF368B"/>
    <w:rsid w:val="00BF4094"/>
    <w:rsid w:val="00BF4EEA"/>
    <w:rsid w:val="00BF5AC8"/>
    <w:rsid w:val="00BF6114"/>
    <w:rsid w:val="00BF6351"/>
    <w:rsid w:val="00BF7E25"/>
    <w:rsid w:val="00BF7E42"/>
    <w:rsid w:val="00BF7F7D"/>
    <w:rsid w:val="00C00447"/>
    <w:rsid w:val="00C006C3"/>
    <w:rsid w:val="00C00A30"/>
    <w:rsid w:val="00C00CD8"/>
    <w:rsid w:val="00C0131F"/>
    <w:rsid w:val="00C01439"/>
    <w:rsid w:val="00C014AA"/>
    <w:rsid w:val="00C02EE5"/>
    <w:rsid w:val="00C02F7E"/>
    <w:rsid w:val="00C03038"/>
    <w:rsid w:val="00C03F5F"/>
    <w:rsid w:val="00C049DA"/>
    <w:rsid w:val="00C04D8A"/>
    <w:rsid w:val="00C04F74"/>
    <w:rsid w:val="00C053A6"/>
    <w:rsid w:val="00C05467"/>
    <w:rsid w:val="00C05B62"/>
    <w:rsid w:val="00C06488"/>
    <w:rsid w:val="00C0712E"/>
    <w:rsid w:val="00C079F1"/>
    <w:rsid w:val="00C07A81"/>
    <w:rsid w:val="00C1072C"/>
    <w:rsid w:val="00C1248E"/>
    <w:rsid w:val="00C12647"/>
    <w:rsid w:val="00C130FC"/>
    <w:rsid w:val="00C1334C"/>
    <w:rsid w:val="00C134C9"/>
    <w:rsid w:val="00C1408E"/>
    <w:rsid w:val="00C1420C"/>
    <w:rsid w:val="00C1421A"/>
    <w:rsid w:val="00C143CC"/>
    <w:rsid w:val="00C14D7B"/>
    <w:rsid w:val="00C150C9"/>
    <w:rsid w:val="00C15222"/>
    <w:rsid w:val="00C15BC6"/>
    <w:rsid w:val="00C16BE4"/>
    <w:rsid w:val="00C16CEF"/>
    <w:rsid w:val="00C17B0A"/>
    <w:rsid w:val="00C206D2"/>
    <w:rsid w:val="00C2079D"/>
    <w:rsid w:val="00C207E3"/>
    <w:rsid w:val="00C2156D"/>
    <w:rsid w:val="00C21A16"/>
    <w:rsid w:val="00C21C8D"/>
    <w:rsid w:val="00C22213"/>
    <w:rsid w:val="00C22C8C"/>
    <w:rsid w:val="00C232D0"/>
    <w:rsid w:val="00C2349C"/>
    <w:rsid w:val="00C235A4"/>
    <w:rsid w:val="00C23F9C"/>
    <w:rsid w:val="00C24588"/>
    <w:rsid w:val="00C24700"/>
    <w:rsid w:val="00C24D11"/>
    <w:rsid w:val="00C24E8A"/>
    <w:rsid w:val="00C25270"/>
    <w:rsid w:val="00C256D2"/>
    <w:rsid w:val="00C25AFB"/>
    <w:rsid w:val="00C25F87"/>
    <w:rsid w:val="00C26060"/>
    <w:rsid w:val="00C26646"/>
    <w:rsid w:val="00C26934"/>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4119"/>
    <w:rsid w:val="00C358BE"/>
    <w:rsid w:val="00C369D0"/>
    <w:rsid w:val="00C3738E"/>
    <w:rsid w:val="00C3760B"/>
    <w:rsid w:val="00C37EA3"/>
    <w:rsid w:val="00C40ED7"/>
    <w:rsid w:val="00C4123D"/>
    <w:rsid w:val="00C41306"/>
    <w:rsid w:val="00C41416"/>
    <w:rsid w:val="00C41B8F"/>
    <w:rsid w:val="00C428BF"/>
    <w:rsid w:val="00C42E85"/>
    <w:rsid w:val="00C437EE"/>
    <w:rsid w:val="00C44273"/>
    <w:rsid w:val="00C44633"/>
    <w:rsid w:val="00C44CE6"/>
    <w:rsid w:val="00C44EB4"/>
    <w:rsid w:val="00C45241"/>
    <w:rsid w:val="00C452D5"/>
    <w:rsid w:val="00C45732"/>
    <w:rsid w:val="00C46415"/>
    <w:rsid w:val="00C469D4"/>
    <w:rsid w:val="00C46A92"/>
    <w:rsid w:val="00C4720C"/>
    <w:rsid w:val="00C5085C"/>
    <w:rsid w:val="00C50CB5"/>
    <w:rsid w:val="00C5165D"/>
    <w:rsid w:val="00C518CB"/>
    <w:rsid w:val="00C518FA"/>
    <w:rsid w:val="00C5196B"/>
    <w:rsid w:val="00C51D46"/>
    <w:rsid w:val="00C51EA8"/>
    <w:rsid w:val="00C520F7"/>
    <w:rsid w:val="00C52130"/>
    <w:rsid w:val="00C533E6"/>
    <w:rsid w:val="00C5344C"/>
    <w:rsid w:val="00C53F97"/>
    <w:rsid w:val="00C54031"/>
    <w:rsid w:val="00C54D79"/>
    <w:rsid w:val="00C54FEF"/>
    <w:rsid w:val="00C572A1"/>
    <w:rsid w:val="00C57582"/>
    <w:rsid w:val="00C57905"/>
    <w:rsid w:val="00C60168"/>
    <w:rsid w:val="00C60407"/>
    <w:rsid w:val="00C60EB8"/>
    <w:rsid w:val="00C610DF"/>
    <w:rsid w:val="00C61499"/>
    <w:rsid w:val="00C623E6"/>
    <w:rsid w:val="00C630C4"/>
    <w:rsid w:val="00C63948"/>
    <w:rsid w:val="00C63D54"/>
    <w:rsid w:val="00C641D4"/>
    <w:rsid w:val="00C6426A"/>
    <w:rsid w:val="00C6489F"/>
    <w:rsid w:val="00C64C87"/>
    <w:rsid w:val="00C650BD"/>
    <w:rsid w:val="00C654C5"/>
    <w:rsid w:val="00C65A9C"/>
    <w:rsid w:val="00C66674"/>
    <w:rsid w:val="00C670AF"/>
    <w:rsid w:val="00C67731"/>
    <w:rsid w:val="00C67D42"/>
    <w:rsid w:val="00C703D7"/>
    <w:rsid w:val="00C7060A"/>
    <w:rsid w:val="00C706C7"/>
    <w:rsid w:val="00C708BD"/>
    <w:rsid w:val="00C71B1E"/>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287"/>
    <w:rsid w:val="00C80353"/>
    <w:rsid w:val="00C80C6D"/>
    <w:rsid w:val="00C8106F"/>
    <w:rsid w:val="00C81964"/>
    <w:rsid w:val="00C81FE6"/>
    <w:rsid w:val="00C83986"/>
    <w:rsid w:val="00C84275"/>
    <w:rsid w:val="00C842E5"/>
    <w:rsid w:val="00C849DD"/>
    <w:rsid w:val="00C8513C"/>
    <w:rsid w:val="00C856B4"/>
    <w:rsid w:val="00C85BF8"/>
    <w:rsid w:val="00C85CBD"/>
    <w:rsid w:val="00C85D84"/>
    <w:rsid w:val="00C860C0"/>
    <w:rsid w:val="00C86391"/>
    <w:rsid w:val="00C87137"/>
    <w:rsid w:val="00C8726A"/>
    <w:rsid w:val="00C8730E"/>
    <w:rsid w:val="00C877C7"/>
    <w:rsid w:val="00C902D8"/>
    <w:rsid w:val="00C90341"/>
    <w:rsid w:val="00C905D8"/>
    <w:rsid w:val="00C90B4F"/>
    <w:rsid w:val="00C91388"/>
    <w:rsid w:val="00C92565"/>
    <w:rsid w:val="00C92821"/>
    <w:rsid w:val="00C92948"/>
    <w:rsid w:val="00C92EB2"/>
    <w:rsid w:val="00C9371A"/>
    <w:rsid w:val="00C9490E"/>
    <w:rsid w:val="00C953D1"/>
    <w:rsid w:val="00C958F0"/>
    <w:rsid w:val="00C96D90"/>
    <w:rsid w:val="00C97830"/>
    <w:rsid w:val="00C97AB6"/>
    <w:rsid w:val="00C97C19"/>
    <w:rsid w:val="00CA075B"/>
    <w:rsid w:val="00CA08B4"/>
    <w:rsid w:val="00CA1060"/>
    <w:rsid w:val="00CA10D1"/>
    <w:rsid w:val="00CA1311"/>
    <w:rsid w:val="00CA1C40"/>
    <w:rsid w:val="00CA2488"/>
    <w:rsid w:val="00CA27FF"/>
    <w:rsid w:val="00CA30E2"/>
    <w:rsid w:val="00CA37A1"/>
    <w:rsid w:val="00CA43F6"/>
    <w:rsid w:val="00CA443B"/>
    <w:rsid w:val="00CA4FD2"/>
    <w:rsid w:val="00CA5C4F"/>
    <w:rsid w:val="00CA6120"/>
    <w:rsid w:val="00CA6415"/>
    <w:rsid w:val="00CA6600"/>
    <w:rsid w:val="00CA6E14"/>
    <w:rsid w:val="00CA6EBE"/>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63AF"/>
    <w:rsid w:val="00CB6834"/>
    <w:rsid w:val="00CB6839"/>
    <w:rsid w:val="00CB7404"/>
    <w:rsid w:val="00CB7496"/>
    <w:rsid w:val="00CB7910"/>
    <w:rsid w:val="00CB7DED"/>
    <w:rsid w:val="00CC0645"/>
    <w:rsid w:val="00CC0BE7"/>
    <w:rsid w:val="00CC121E"/>
    <w:rsid w:val="00CC1291"/>
    <w:rsid w:val="00CC19F4"/>
    <w:rsid w:val="00CC1D11"/>
    <w:rsid w:val="00CC20BD"/>
    <w:rsid w:val="00CC230C"/>
    <w:rsid w:val="00CC2931"/>
    <w:rsid w:val="00CC2BBE"/>
    <w:rsid w:val="00CC379D"/>
    <w:rsid w:val="00CC3E34"/>
    <w:rsid w:val="00CC3EB9"/>
    <w:rsid w:val="00CC4CDC"/>
    <w:rsid w:val="00CC4DBD"/>
    <w:rsid w:val="00CC4F12"/>
    <w:rsid w:val="00CC5112"/>
    <w:rsid w:val="00CC53AF"/>
    <w:rsid w:val="00CC658F"/>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E5D"/>
    <w:rsid w:val="00CD5F25"/>
    <w:rsid w:val="00CD687F"/>
    <w:rsid w:val="00CD68E9"/>
    <w:rsid w:val="00CD6DB2"/>
    <w:rsid w:val="00CD6DBD"/>
    <w:rsid w:val="00CD7012"/>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6082"/>
    <w:rsid w:val="00CE69C6"/>
    <w:rsid w:val="00CE6CC7"/>
    <w:rsid w:val="00CE76B7"/>
    <w:rsid w:val="00CE7898"/>
    <w:rsid w:val="00CE7D60"/>
    <w:rsid w:val="00CF1AB9"/>
    <w:rsid w:val="00CF1C83"/>
    <w:rsid w:val="00CF1CB2"/>
    <w:rsid w:val="00CF1CBD"/>
    <w:rsid w:val="00CF200A"/>
    <w:rsid w:val="00CF211B"/>
    <w:rsid w:val="00CF2253"/>
    <w:rsid w:val="00CF2279"/>
    <w:rsid w:val="00CF2A2A"/>
    <w:rsid w:val="00CF2CD8"/>
    <w:rsid w:val="00CF2D81"/>
    <w:rsid w:val="00CF2FDF"/>
    <w:rsid w:val="00CF33F8"/>
    <w:rsid w:val="00CF3982"/>
    <w:rsid w:val="00CF3FF9"/>
    <w:rsid w:val="00CF44E3"/>
    <w:rsid w:val="00CF4B80"/>
    <w:rsid w:val="00CF58E4"/>
    <w:rsid w:val="00CF6A63"/>
    <w:rsid w:val="00CF78E1"/>
    <w:rsid w:val="00D00773"/>
    <w:rsid w:val="00D00E88"/>
    <w:rsid w:val="00D012E6"/>
    <w:rsid w:val="00D018B8"/>
    <w:rsid w:val="00D01A6D"/>
    <w:rsid w:val="00D0239C"/>
    <w:rsid w:val="00D023BF"/>
    <w:rsid w:val="00D03EFC"/>
    <w:rsid w:val="00D0401C"/>
    <w:rsid w:val="00D05B69"/>
    <w:rsid w:val="00D0692A"/>
    <w:rsid w:val="00D06C10"/>
    <w:rsid w:val="00D1007B"/>
    <w:rsid w:val="00D10564"/>
    <w:rsid w:val="00D10CD2"/>
    <w:rsid w:val="00D116B0"/>
    <w:rsid w:val="00D132E9"/>
    <w:rsid w:val="00D13C19"/>
    <w:rsid w:val="00D13DC3"/>
    <w:rsid w:val="00D14776"/>
    <w:rsid w:val="00D14F86"/>
    <w:rsid w:val="00D151B3"/>
    <w:rsid w:val="00D1559B"/>
    <w:rsid w:val="00D16478"/>
    <w:rsid w:val="00D16A93"/>
    <w:rsid w:val="00D16F77"/>
    <w:rsid w:val="00D17922"/>
    <w:rsid w:val="00D17B85"/>
    <w:rsid w:val="00D20D12"/>
    <w:rsid w:val="00D21D9F"/>
    <w:rsid w:val="00D22F70"/>
    <w:rsid w:val="00D231AA"/>
    <w:rsid w:val="00D236C2"/>
    <w:rsid w:val="00D23FA7"/>
    <w:rsid w:val="00D24403"/>
    <w:rsid w:val="00D24EAB"/>
    <w:rsid w:val="00D2519D"/>
    <w:rsid w:val="00D25955"/>
    <w:rsid w:val="00D25D86"/>
    <w:rsid w:val="00D27029"/>
    <w:rsid w:val="00D271A6"/>
    <w:rsid w:val="00D27D9D"/>
    <w:rsid w:val="00D3005B"/>
    <w:rsid w:val="00D30594"/>
    <w:rsid w:val="00D30DD0"/>
    <w:rsid w:val="00D315E5"/>
    <w:rsid w:val="00D317A3"/>
    <w:rsid w:val="00D317B3"/>
    <w:rsid w:val="00D31A15"/>
    <w:rsid w:val="00D3202E"/>
    <w:rsid w:val="00D326D8"/>
    <w:rsid w:val="00D32D75"/>
    <w:rsid w:val="00D3305A"/>
    <w:rsid w:val="00D333C1"/>
    <w:rsid w:val="00D33D07"/>
    <w:rsid w:val="00D340E7"/>
    <w:rsid w:val="00D344E7"/>
    <w:rsid w:val="00D346AA"/>
    <w:rsid w:val="00D34CAA"/>
    <w:rsid w:val="00D35F89"/>
    <w:rsid w:val="00D3627A"/>
    <w:rsid w:val="00D36533"/>
    <w:rsid w:val="00D37E33"/>
    <w:rsid w:val="00D402C9"/>
    <w:rsid w:val="00D404B0"/>
    <w:rsid w:val="00D41F1B"/>
    <w:rsid w:val="00D41F6D"/>
    <w:rsid w:val="00D42525"/>
    <w:rsid w:val="00D42DB7"/>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516A"/>
    <w:rsid w:val="00D551BB"/>
    <w:rsid w:val="00D573E5"/>
    <w:rsid w:val="00D57750"/>
    <w:rsid w:val="00D577A3"/>
    <w:rsid w:val="00D57BEE"/>
    <w:rsid w:val="00D609A2"/>
    <w:rsid w:val="00D61466"/>
    <w:rsid w:val="00D61609"/>
    <w:rsid w:val="00D6170D"/>
    <w:rsid w:val="00D6206E"/>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8061D"/>
    <w:rsid w:val="00D806A6"/>
    <w:rsid w:val="00D80B27"/>
    <w:rsid w:val="00D80C92"/>
    <w:rsid w:val="00D820A5"/>
    <w:rsid w:val="00D822B2"/>
    <w:rsid w:val="00D82548"/>
    <w:rsid w:val="00D8271B"/>
    <w:rsid w:val="00D82EB6"/>
    <w:rsid w:val="00D83829"/>
    <w:rsid w:val="00D83844"/>
    <w:rsid w:val="00D847B3"/>
    <w:rsid w:val="00D84B15"/>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BB9"/>
    <w:rsid w:val="00D94BF1"/>
    <w:rsid w:val="00D9559D"/>
    <w:rsid w:val="00D95694"/>
    <w:rsid w:val="00D95DB8"/>
    <w:rsid w:val="00D95EF0"/>
    <w:rsid w:val="00D962EF"/>
    <w:rsid w:val="00D9710B"/>
    <w:rsid w:val="00D97218"/>
    <w:rsid w:val="00D9722D"/>
    <w:rsid w:val="00D97606"/>
    <w:rsid w:val="00D978F0"/>
    <w:rsid w:val="00D97900"/>
    <w:rsid w:val="00DA0A23"/>
    <w:rsid w:val="00DA0BD8"/>
    <w:rsid w:val="00DA148C"/>
    <w:rsid w:val="00DA14FA"/>
    <w:rsid w:val="00DA1F28"/>
    <w:rsid w:val="00DA2FAB"/>
    <w:rsid w:val="00DA2FAF"/>
    <w:rsid w:val="00DA3394"/>
    <w:rsid w:val="00DA3919"/>
    <w:rsid w:val="00DA3C4B"/>
    <w:rsid w:val="00DA3C8F"/>
    <w:rsid w:val="00DA3D9D"/>
    <w:rsid w:val="00DA3E95"/>
    <w:rsid w:val="00DA45D9"/>
    <w:rsid w:val="00DA469F"/>
    <w:rsid w:val="00DA5366"/>
    <w:rsid w:val="00DA5A1A"/>
    <w:rsid w:val="00DA5B0D"/>
    <w:rsid w:val="00DA6AA7"/>
    <w:rsid w:val="00DA7204"/>
    <w:rsid w:val="00DA7BAF"/>
    <w:rsid w:val="00DB0016"/>
    <w:rsid w:val="00DB0295"/>
    <w:rsid w:val="00DB0E29"/>
    <w:rsid w:val="00DB140B"/>
    <w:rsid w:val="00DB2851"/>
    <w:rsid w:val="00DB29EB"/>
    <w:rsid w:val="00DB2BAD"/>
    <w:rsid w:val="00DB2FA4"/>
    <w:rsid w:val="00DB37CA"/>
    <w:rsid w:val="00DB4A62"/>
    <w:rsid w:val="00DB5A9E"/>
    <w:rsid w:val="00DB5DAC"/>
    <w:rsid w:val="00DB6C9B"/>
    <w:rsid w:val="00DB712F"/>
    <w:rsid w:val="00DB74DC"/>
    <w:rsid w:val="00DC0BFC"/>
    <w:rsid w:val="00DC0CFE"/>
    <w:rsid w:val="00DC25FA"/>
    <w:rsid w:val="00DC2FBC"/>
    <w:rsid w:val="00DC307E"/>
    <w:rsid w:val="00DC3191"/>
    <w:rsid w:val="00DC31A1"/>
    <w:rsid w:val="00DC33FC"/>
    <w:rsid w:val="00DC38D9"/>
    <w:rsid w:val="00DC4132"/>
    <w:rsid w:val="00DC42EE"/>
    <w:rsid w:val="00DC45AF"/>
    <w:rsid w:val="00DC5203"/>
    <w:rsid w:val="00DC5723"/>
    <w:rsid w:val="00DC5AED"/>
    <w:rsid w:val="00DC780B"/>
    <w:rsid w:val="00DD0349"/>
    <w:rsid w:val="00DD0545"/>
    <w:rsid w:val="00DD0BDB"/>
    <w:rsid w:val="00DD1116"/>
    <w:rsid w:val="00DD11C1"/>
    <w:rsid w:val="00DD163E"/>
    <w:rsid w:val="00DD2B54"/>
    <w:rsid w:val="00DD2F3C"/>
    <w:rsid w:val="00DD33B1"/>
    <w:rsid w:val="00DD348B"/>
    <w:rsid w:val="00DD34C3"/>
    <w:rsid w:val="00DD3940"/>
    <w:rsid w:val="00DD3CD1"/>
    <w:rsid w:val="00DD3EEF"/>
    <w:rsid w:val="00DD4ACF"/>
    <w:rsid w:val="00DD57E1"/>
    <w:rsid w:val="00DD5A61"/>
    <w:rsid w:val="00DD63F7"/>
    <w:rsid w:val="00DD64A4"/>
    <w:rsid w:val="00DD6D14"/>
    <w:rsid w:val="00DD6FB6"/>
    <w:rsid w:val="00DD749C"/>
    <w:rsid w:val="00DE0C10"/>
    <w:rsid w:val="00DE11E0"/>
    <w:rsid w:val="00DE1361"/>
    <w:rsid w:val="00DE1D2A"/>
    <w:rsid w:val="00DE1FB1"/>
    <w:rsid w:val="00DE227A"/>
    <w:rsid w:val="00DE24A1"/>
    <w:rsid w:val="00DE2F4C"/>
    <w:rsid w:val="00DE399D"/>
    <w:rsid w:val="00DE3CFB"/>
    <w:rsid w:val="00DE40CD"/>
    <w:rsid w:val="00DE4239"/>
    <w:rsid w:val="00DE42C5"/>
    <w:rsid w:val="00DE4B5A"/>
    <w:rsid w:val="00DE4E57"/>
    <w:rsid w:val="00DE4EB2"/>
    <w:rsid w:val="00DE53DD"/>
    <w:rsid w:val="00DE5ADD"/>
    <w:rsid w:val="00DE5E61"/>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315"/>
    <w:rsid w:val="00E075EA"/>
    <w:rsid w:val="00E0764D"/>
    <w:rsid w:val="00E0775D"/>
    <w:rsid w:val="00E1048A"/>
    <w:rsid w:val="00E11AF5"/>
    <w:rsid w:val="00E11C24"/>
    <w:rsid w:val="00E11C8B"/>
    <w:rsid w:val="00E125B3"/>
    <w:rsid w:val="00E12B93"/>
    <w:rsid w:val="00E1338E"/>
    <w:rsid w:val="00E13509"/>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3425"/>
    <w:rsid w:val="00E238C1"/>
    <w:rsid w:val="00E2407D"/>
    <w:rsid w:val="00E240AE"/>
    <w:rsid w:val="00E243ED"/>
    <w:rsid w:val="00E24451"/>
    <w:rsid w:val="00E251A4"/>
    <w:rsid w:val="00E2529C"/>
    <w:rsid w:val="00E2534A"/>
    <w:rsid w:val="00E25D57"/>
    <w:rsid w:val="00E2632D"/>
    <w:rsid w:val="00E265D0"/>
    <w:rsid w:val="00E26BC3"/>
    <w:rsid w:val="00E27273"/>
    <w:rsid w:val="00E27B92"/>
    <w:rsid w:val="00E305B5"/>
    <w:rsid w:val="00E3061A"/>
    <w:rsid w:val="00E310B6"/>
    <w:rsid w:val="00E32416"/>
    <w:rsid w:val="00E32535"/>
    <w:rsid w:val="00E32E09"/>
    <w:rsid w:val="00E32E97"/>
    <w:rsid w:val="00E335B8"/>
    <w:rsid w:val="00E345C3"/>
    <w:rsid w:val="00E353D0"/>
    <w:rsid w:val="00E35B5D"/>
    <w:rsid w:val="00E35D07"/>
    <w:rsid w:val="00E35DC8"/>
    <w:rsid w:val="00E36028"/>
    <w:rsid w:val="00E40820"/>
    <w:rsid w:val="00E40CD9"/>
    <w:rsid w:val="00E41455"/>
    <w:rsid w:val="00E42279"/>
    <w:rsid w:val="00E446C2"/>
    <w:rsid w:val="00E44B52"/>
    <w:rsid w:val="00E44CD8"/>
    <w:rsid w:val="00E44F3A"/>
    <w:rsid w:val="00E450F9"/>
    <w:rsid w:val="00E45DEF"/>
    <w:rsid w:val="00E46202"/>
    <w:rsid w:val="00E46686"/>
    <w:rsid w:val="00E46755"/>
    <w:rsid w:val="00E467C4"/>
    <w:rsid w:val="00E46C12"/>
    <w:rsid w:val="00E46DCE"/>
    <w:rsid w:val="00E47D20"/>
    <w:rsid w:val="00E50E87"/>
    <w:rsid w:val="00E515B5"/>
    <w:rsid w:val="00E51E67"/>
    <w:rsid w:val="00E52368"/>
    <w:rsid w:val="00E52677"/>
    <w:rsid w:val="00E52A52"/>
    <w:rsid w:val="00E52B9C"/>
    <w:rsid w:val="00E53284"/>
    <w:rsid w:val="00E53319"/>
    <w:rsid w:val="00E53336"/>
    <w:rsid w:val="00E54170"/>
    <w:rsid w:val="00E54177"/>
    <w:rsid w:val="00E54491"/>
    <w:rsid w:val="00E54907"/>
    <w:rsid w:val="00E554D7"/>
    <w:rsid w:val="00E55CD3"/>
    <w:rsid w:val="00E55F69"/>
    <w:rsid w:val="00E56D9B"/>
    <w:rsid w:val="00E576BB"/>
    <w:rsid w:val="00E57AE7"/>
    <w:rsid w:val="00E6013D"/>
    <w:rsid w:val="00E609F7"/>
    <w:rsid w:val="00E60A99"/>
    <w:rsid w:val="00E60B71"/>
    <w:rsid w:val="00E61116"/>
    <w:rsid w:val="00E61329"/>
    <w:rsid w:val="00E61F89"/>
    <w:rsid w:val="00E62450"/>
    <w:rsid w:val="00E62A84"/>
    <w:rsid w:val="00E62CC2"/>
    <w:rsid w:val="00E6378C"/>
    <w:rsid w:val="00E63C04"/>
    <w:rsid w:val="00E6412B"/>
    <w:rsid w:val="00E64251"/>
    <w:rsid w:val="00E6526E"/>
    <w:rsid w:val="00E65297"/>
    <w:rsid w:val="00E66C6B"/>
    <w:rsid w:val="00E66E70"/>
    <w:rsid w:val="00E66E87"/>
    <w:rsid w:val="00E675BE"/>
    <w:rsid w:val="00E70810"/>
    <w:rsid w:val="00E713C1"/>
    <w:rsid w:val="00E71973"/>
    <w:rsid w:val="00E71E2E"/>
    <w:rsid w:val="00E71E47"/>
    <w:rsid w:val="00E729BE"/>
    <w:rsid w:val="00E74EAD"/>
    <w:rsid w:val="00E74F0D"/>
    <w:rsid w:val="00E75146"/>
    <w:rsid w:val="00E7518D"/>
    <w:rsid w:val="00E755A5"/>
    <w:rsid w:val="00E7611A"/>
    <w:rsid w:val="00E7631D"/>
    <w:rsid w:val="00E76663"/>
    <w:rsid w:val="00E77BF7"/>
    <w:rsid w:val="00E80263"/>
    <w:rsid w:val="00E80AAB"/>
    <w:rsid w:val="00E8114B"/>
    <w:rsid w:val="00E81253"/>
    <w:rsid w:val="00E817DA"/>
    <w:rsid w:val="00E819A7"/>
    <w:rsid w:val="00E81F4B"/>
    <w:rsid w:val="00E81F86"/>
    <w:rsid w:val="00E831E1"/>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94B"/>
    <w:rsid w:val="00E94C58"/>
    <w:rsid w:val="00E94D01"/>
    <w:rsid w:val="00E94F1E"/>
    <w:rsid w:val="00E9536E"/>
    <w:rsid w:val="00E953EB"/>
    <w:rsid w:val="00E95452"/>
    <w:rsid w:val="00E95539"/>
    <w:rsid w:val="00E95814"/>
    <w:rsid w:val="00E95B64"/>
    <w:rsid w:val="00E95EA6"/>
    <w:rsid w:val="00E9716F"/>
    <w:rsid w:val="00E97DF5"/>
    <w:rsid w:val="00EA0516"/>
    <w:rsid w:val="00EA08A0"/>
    <w:rsid w:val="00EA0ECF"/>
    <w:rsid w:val="00EA1C65"/>
    <w:rsid w:val="00EA2142"/>
    <w:rsid w:val="00EA2320"/>
    <w:rsid w:val="00EA30D8"/>
    <w:rsid w:val="00EA3DB5"/>
    <w:rsid w:val="00EA4F5F"/>
    <w:rsid w:val="00EA527E"/>
    <w:rsid w:val="00EA5286"/>
    <w:rsid w:val="00EA58AC"/>
    <w:rsid w:val="00EA6D7D"/>
    <w:rsid w:val="00EA74D4"/>
    <w:rsid w:val="00EA76F9"/>
    <w:rsid w:val="00EB04C0"/>
    <w:rsid w:val="00EB04FB"/>
    <w:rsid w:val="00EB06B0"/>
    <w:rsid w:val="00EB12A5"/>
    <w:rsid w:val="00EB1555"/>
    <w:rsid w:val="00EB1693"/>
    <w:rsid w:val="00EB1E42"/>
    <w:rsid w:val="00EB1F37"/>
    <w:rsid w:val="00EB257F"/>
    <w:rsid w:val="00EB28E4"/>
    <w:rsid w:val="00EB2FFC"/>
    <w:rsid w:val="00EB314E"/>
    <w:rsid w:val="00EB3E50"/>
    <w:rsid w:val="00EB4524"/>
    <w:rsid w:val="00EB4D42"/>
    <w:rsid w:val="00EB5198"/>
    <w:rsid w:val="00EB590A"/>
    <w:rsid w:val="00EB6625"/>
    <w:rsid w:val="00EB6906"/>
    <w:rsid w:val="00EB6DA7"/>
    <w:rsid w:val="00EB7966"/>
    <w:rsid w:val="00EC0DC4"/>
    <w:rsid w:val="00EC0DE5"/>
    <w:rsid w:val="00EC1348"/>
    <w:rsid w:val="00EC3455"/>
    <w:rsid w:val="00EC3FAB"/>
    <w:rsid w:val="00EC4066"/>
    <w:rsid w:val="00EC43DA"/>
    <w:rsid w:val="00EC4A80"/>
    <w:rsid w:val="00EC4DF5"/>
    <w:rsid w:val="00EC5A1D"/>
    <w:rsid w:val="00EC5ED8"/>
    <w:rsid w:val="00EC616C"/>
    <w:rsid w:val="00EC78B6"/>
    <w:rsid w:val="00ED15E3"/>
    <w:rsid w:val="00ED16B8"/>
    <w:rsid w:val="00ED2C6A"/>
    <w:rsid w:val="00ED2D31"/>
    <w:rsid w:val="00ED52F3"/>
    <w:rsid w:val="00ED5663"/>
    <w:rsid w:val="00ED68C6"/>
    <w:rsid w:val="00ED72A3"/>
    <w:rsid w:val="00ED72C6"/>
    <w:rsid w:val="00ED7815"/>
    <w:rsid w:val="00ED7DE4"/>
    <w:rsid w:val="00EE03D1"/>
    <w:rsid w:val="00EE0870"/>
    <w:rsid w:val="00EE0C52"/>
    <w:rsid w:val="00EE11DE"/>
    <w:rsid w:val="00EE1AEF"/>
    <w:rsid w:val="00EE1CBE"/>
    <w:rsid w:val="00EE20F2"/>
    <w:rsid w:val="00EE2609"/>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F0611"/>
    <w:rsid w:val="00EF0BC0"/>
    <w:rsid w:val="00EF0EDF"/>
    <w:rsid w:val="00EF21B0"/>
    <w:rsid w:val="00EF261E"/>
    <w:rsid w:val="00EF2787"/>
    <w:rsid w:val="00EF2D58"/>
    <w:rsid w:val="00EF30AC"/>
    <w:rsid w:val="00EF3DE6"/>
    <w:rsid w:val="00EF4DE6"/>
    <w:rsid w:val="00EF5571"/>
    <w:rsid w:val="00EF59C7"/>
    <w:rsid w:val="00EF5B47"/>
    <w:rsid w:val="00EF6281"/>
    <w:rsid w:val="00EF63CF"/>
    <w:rsid w:val="00EF68C8"/>
    <w:rsid w:val="00EF6B95"/>
    <w:rsid w:val="00EF70CC"/>
    <w:rsid w:val="00EF725B"/>
    <w:rsid w:val="00EF77B0"/>
    <w:rsid w:val="00EF7801"/>
    <w:rsid w:val="00EF7AC8"/>
    <w:rsid w:val="00F0016D"/>
    <w:rsid w:val="00F00CEC"/>
    <w:rsid w:val="00F010F3"/>
    <w:rsid w:val="00F02118"/>
    <w:rsid w:val="00F0229E"/>
    <w:rsid w:val="00F02565"/>
    <w:rsid w:val="00F02A29"/>
    <w:rsid w:val="00F0334D"/>
    <w:rsid w:val="00F0437E"/>
    <w:rsid w:val="00F043B3"/>
    <w:rsid w:val="00F0480A"/>
    <w:rsid w:val="00F05057"/>
    <w:rsid w:val="00F0594F"/>
    <w:rsid w:val="00F06B17"/>
    <w:rsid w:val="00F06B23"/>
    <w:rsid w:val="00F06EAD"/>
    <w:rsid w:val="00F0701C"/>
    <w:rsid w:val="00F073DA"/>
    <w:rsid w:val="00F0787D"/>
    <w:rsid w:val="00F1151B"/>
    <w:rsid w:val="00F11678"/>
    <w:rsid w:val="00F123E2"/>
    <w:rsid w:val="00F1276F"/>
    <w:rsid w:val="00F128A6"/>
    <w:rsid w:val="00F159B0"/>
    <w:rsid w:val="00F15E52"/>
    <w:rsid w:val="00F17F1C"/>
    <w:rsid w:val="00F203F9"/>
    <w:rsid w:val="00F20A12"/>
    <w:rsid w:val="00F2114A"/>
    <w:rsid w:val="00F211E4"/>
    <w:rsid w:val="00F2136C"/>
    <w:rsid w:val="00F21631"/>
    <w:rsid w:val="00F2170B"/>
    <w:rsid w:val="00F21DBF"/>
    <w:rsid w:val="00F21F42"/>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B88"/>
    <w:rsid w:val="00F32F24"/>
    <w:rsid w:val="00F337AB"/>
    <w:rsid w:val="00F33857"/>
    <w:rsid w:val="00F33A17"/>
    <w:rsid w:val="00F33F68"/>
    <w:rsid w:val="00F33FE4"/>
    <w:rsid w:val="00F348FE"/>
    <w:rsid w:val="00F34985"/>
    <w:rsid w:val="00F34BCD"/>
    <w:rsid w:val="00F34F96"/>
    <w:rsid w:val="00F350E0"/>
    <w:rsid w:val="00F361E7"/>
    <w:rsid w:val="00F364C9"/>
    <w:rsid w:val="00F36BDD"/>
    <w:rsid w:val="00F36C97"/>
    <w:rsid w:val="00F36D5E"/>
    <w:rsid w:val="00F36E7E"/>
    <w:rsid w:val="00F3745D"/>
    <w:rsid w:val="00F37D8F"/>
    <w:rsid w:val="00F37F8A"/>
    <w:rsid w:val="00F37FE7"/>
    <w:rsid w:val="00F40451"/>
    <w:rsid w:val="00F40581"/>
    <w:rsid w:val="00F413FA"/>
    <w:rsid w:val="00F41C03"/>
    <w:rsid w:val="00F42A7B"/>
    <w:rsid w:val="00F4414A"/>
    <w:rsid w:val="00F443E3"/>
    <w:rsid w:val="00F44471"/>
    <w:rsid w:val="00F446E8"/>
    <w:rsid w:val="00F44D43"/>
    <w:rsid w:val="00F454EF"/>
    <w:rsid w:val="00F4677B"/>
    <w:rsid w:val="00F46812"/>
    <w:rsid w:val="00F46B8C"/>
    <w:rsid w:val="00F46D88"/>
    <w:rsid w:val="00F47269"/>
    <w:rsid w:val="00F47566"/>
    <w:rsid w:val="00F51650"/>
    <w:rsid w:val="00F52759"/>
    <w:rsid w:val="00F52AF0"/>
    <w:rsid w:val="00F53A47"/>
    <w:rsid w:val="00F54BEB"/>
    <w:rsid w:val="00F54D0C"/>
    <w:rsid w:val="00F556A9"/>
    <w:rsid w:val="00F557B0"/>
    <w:rsid w:val="00F55AE1"/>
    <w:rsid w:val="00F55C97"/>
    <w:rsid w:val="00F56F03"/>
    <w:rsid w:val="00F5725E"/>
    <w:rsid w:val="00F573B8"/>
    <w:rsid w:val="00F57C03"/>
    <w:rsid w:val="00F60E4D"/>
    <w:rsid w:val="00F60F21"/>
    <w:rsid w:val="00F61167"/>
    <w:rsid w:val="00F6157C"/>
    <w:rsid w:val="00F617A3"/>
    <w:rsid w:val="00F619F5"/>
    <w:rsid w:val="00F61C8C"/>
    <w:rsid w:val="00F61FBD"/>
    <w:rsid w:val="00F621CA"/>
    <w:rsid w:val="00F625B4"/>
    <w:rsid w:val="00F62EB1"/>
    <w:rsid w:val="00F62F11"/>
    <w:rsid w:val="00F63E9D"/>
    <w:rsid w:val="00F63FAD"/>
    <w:rsid w:val="00F656AD"/>
    <w:rsid w:val="00F663AF"/>
    <w:rsid w:val="00F670D8"/>
    <w:rsid w:val="00F672B4"/>
    <w:rsid w:val="00F70783"/>
    <w:rsid w:val="00F709E8"/>
    <w:rsid w:val="00F7110E"/>
    <w:rsid w:val="00F7318E"/>
    <w:rsid w:val="00F73500"/>
    <w:rsid w:val="00F73757"/>
    <w:rsid w:val="00F7399E"/>
    <w:rsid w:val="00F739D3"/>
    <w:rsid w:val="00F73DEF"/>
    <w:rsid w:val="00F74F39"/>
    <w:rsid w:val="00F75935"/>
    <w:rsid w:val="00F75959"/>
    <w:rsid w:val="00F75C03"/>
    <w:rsid w:val="00F763E2"/>
    <w:rsid w:val="00F763E3"/>
    <w:rsid w:val="00F771B2"/>
    <w:rsid w:val="00F77940"/>
    <w:rsid w:val="00F77EC5"/>
    <w:rsid w:val="00F80215"/>
    <w:rsid w:val="00F80873"/>
    <w:rsid w:val="00F80A8E"/>
    <w:rsid w:val="00F80E3F"/>
    <w:rsid w:val="00F8107C"/>
    <w:rsid w:val="00F8195E"/>
    <w:rsid w:val="00F8225A"/>
    <w:rsid w:val="00F824A1"/>
    <w:rsid w:val="00F8389F"/>
    <w:rsid w:val="00F8457C"/>
    <w:rsid w:val="00F84718"/>
    <w:rsid w:val="00F84A70"/>
    <w:rsid w:val="00F85BCC"/>
    <w:rsid w:val="00F85E25"/>
    <w:rsid w:val="00F864EA"/>
    <w:rsid w:val="00F86A0F"/>
    <w:rsid w:val="00F86D4D"/>
    <w:rsid w:val="00F873D4"/>
    <w:rsid w:val="00F87F24"/>
    <w:rsid w:val="00F90666"/>
    <w:rsid w:val="00F906CF"/>
    <w:rsid w:val="00F90782"/>
    <w:rsid w:val="00F929A3"/>
    <w:rsid w:val="00F93450"/>
    <w:rsid w:val="00F93744"/>
    <w:rsid w:val="00F93854"/>
    <w:rsid w:val="00F938B0"/>
    <w:rsid w:val="00F93D54"/>
    <w:rsid w:val="00F94900"/>
    <w:rsid w:val="00F94B56"/>
    <w:rsid w:val="00F954F5"/>
    <w:rsid w:val="00F95C73"/>
    <w:rsid w:val="00F96939"/>
    <w:rsid w:val="00F97281"/>
    <w:rsid w:val="00F97A04"/>
    <w:rsid w:val="00FA02B0"/>
    <w:rsid w:val="00FA02BA"/>
    <w:rsid w:val="00FA0819"/>
    <w:rsid w:val="00FA09C7"/>
    <w:rsid w:val="00FA0D79"/>
    <w:rsid w:val="00FA185A"/>
    <w:rsid w:val="00FA1F2C"/>
    <w:rsid w:val="00FA213A"/>
    <w:rsid w:val="00FA2B65"/>
    <w:rsid w:val="00FA2F41"/>
    <w:rsid w:val="00FA3518"/>
    <w:rsid w:val="00FA3C35"/>
    <w:rsid w:val="00FA5030"/>
    <w:rsid w:val="00FA5484"/>
    <w:rsid w:val="00FA55AF"/>
    <w:rsid w:val="00FA5756"/>
    <w:rsid w:val="00FA5DF1"/>
    <w:rsid w:val="00FA6475"/>
    <w:rsid w:val="00FA667E"/>
    <w:rsid w:val="00FA6B5F"/>
    <w:rsid w:val="00FA75F2"/>
    <w:rsid w:val="00FB0780"/>
    <w:rsid w:val="00FB0802"/>
    <w:rsid w:val="00FB0A06"/>
    <w:rsid w:val="00FB0E40"/>
    <w:rsid w:val="00FB1900"/>
    <w:rsid w:val="00FB2241"/>
    <w:rsid w:val="00FB2AC8"/>
    <w:rsid w:val="00FB309B"/>
    <w:rsid w:val="00FB3162"/>
    <w:rsid w:val="00FB38F3"/>
    <w:rsid w:val="00FB3971"/>
    <w:rsid w:val="00FB420C"/>
    <w:rsid w:val="00FB43D6"/>
    <w:rsid w:val="00FB4774"/>
    <w:rsid w:val="00FB4C9F"/>
    <w:rsid w:val="00FB4F6F"/>
    <w:rsid w:val="00FB521F"/>
    <w:rsid w:val="00FB561C"/>
    <w:rsid w:val="00FB5664"/>
    <w:rsid w:val="00FB5E1D"/>
    <w:rsid w:val="00FB5F15"/>
    <w:rsid w:val="00FB607F"/>
    <w:rsid w:val="00FB635F"/>
    <w:rsid w:val="00FB744D"/>
    <w:rsid w:val="00FB7865"/>
    <w:rsid w:val="00FC02C8"/>
    <w:rsid w:val="00FC0B8B"/>
    <w:rsid w:val="00FC148C"/>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D168E"/>
    <w:rsid w:val="00FD1ADC"/>
    <w:rsid w:val="00FD1F5C"/>
    <w:rsid w:val="00FD223E"/>
    <w:rsid w:val="00FD3DE6"/>
    <w:rsid w:val="00FD3FFD"/>
    <w:rsid w:val="00FD4C6E"/>
    <w:rsid w:val="00FD5272"/>
    <w:rsid w:val="00FD71A1"/>
    <w:rsid w:val="00FD71AD"/>
    <w:rsid w:val="00FD7696"/>
    <w:rsid w:val="00FE1128"/>
    <w:rsid w:val="00FE1CC1"/>
    <w:rsid w:val="00FE21F0"/>
    <w:rsid w:val="00FE221B"/>
    <w:rsid w:val="00FE300B"/>
    <w:rsid w:val="00FE4276"/>
    <w:rsid w:val="00FE42F6"/>
    <w:rsid w:val="00FE4758"/>
    <w:rsid w:val="00FE4FDC"/>
    <w:rsid w:val="00FE52F9"/>
    <w:rsid w:val="00FE5722"/>
    <w:rsid w:val="00FE5BA3"/>
    <w:rsid w:val="00FE5DFA"/>
    <w:rsid w:val="00FE61BB"/>
    <w:rsid w:val="00FE6656"/>
    <w:rsid w:val="00FE665B"/>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5DE0"/>
    <w:rsid w:val="00FF6D9B"/>
    <w:rsid w:val="00FF794E"/>
    <w:rsid w:val="00FF7E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1F039E"/>
    <w:pPr>
      <w:tabs>
        <w:tab w:val="right" w:pos="9118"/>
      </w:tabs>
      <w:spacing w:before="120" w:after="0" w:line="200" w:lineRule="atLeast"/>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1F039E"/>
    <w:pPr>
      <w:tabs>
        <w:tab w:val="right" w:pos="9118"/>
      </w:tabs>
      <w:spacing w:before="120" w:after="0" w:line="200" w:lineRule="atLeast"/>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393889187">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54874149">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9E5AE-1390-4FC2-A724-8F01BD32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21415</Words>
  <Characters>134915</Characters>
  <Application>Microsoft Office Word</Application>
  <DocSecurity>0</DocSecurity>
  <Lines>1124</Lines>
  <Paragraphs>312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156018</CharactersWithSpaces>
  <SharedDoc>false</SharedDoc>
  <HLinks>
    <vt:vector size="30" baseType="variant">
      <vt:variant>
        <vt:i4>3211379</vt:i4>
      </vt:variant>
      <vt:variant>
        <vt:i4>12</vt:i4>
      </vt:variant>
      <vt:variant>
        <vt:i4>0</vt:i4>
      </vt:variant>
      <vt:variant>
        <vt:i4>5</vt:i4>
      </vt:variant>
      <vt:variant>
        <vt:lpwstr>http://www.ecb.int/</vt:lpwstr>
      </vt:variant>
      <vt:variant>
        <vt:lpwstr/>
      </vt:variant>
      <vt:variant>
        <vt:i4>1966165</vt:i4>
      </vt:variant>
      <vt:variant>
        <vt:i4>9</vt:i4>
      </vt:variant>
      <vt:variant>
        <vt:i4>0</vt:i4>
      </vt:variant>
      <vt:variant>
        <vt:i4>5</vt:i4>
      </vt:variant>
      <vt:variant>
        <vt:lpwstr>http://www.eex.com/en/market-data/natural-gas/derivatives-market/ncg</vt:lpwstr>
      </vt:variant>
      <vt:variant>
        <vt:lpwstr/>
      </vt:variant>
      <vt:variant>
        <vt:i4>5963862</vt:i4>
      </vt:variant>
      <vt:variant>
        <vt:i4>6</vt:i4>
      </vt:variant>
      <vt:variant>
        <vt:i4>0</vt:i4>
      </vt:variant>
      <vt:variant>
        <vt:i4>5</vt:i4>
      </vt:variant>
      <vt:variant>
        <vt:lpwstr>http://www.apxgroup.com/</vt:lpwstr>
      </vt:variant>
      <vt:variant>
        <vt:lpwstr/>
      </vt:variant>
      <vt:variant>
        <vt:i4>72</vt:i4>
      </vt:variant>
      <vt:variant>
        <vt:i4>3</vt:i4>
      </vt:variant>
      <vt:variant>
        <vt:i4>0</vt:i4>
      </vt:variant>
      <vt:variant>
        <vt:i4>5</vt:i4>
      </vt:variant>
      <vt:variant>
        <vt:lpwstr>http://www.eex.com/en/market-data/natural-gas/derivatives-market/gaspool</vt:lpwstr>
      </vt:variant>
      <vt:variant>
        <vt:lpwstr/>
      </vt:variant>
      <vt:variant>
        <vt:i4>5963862</vt:i4>
      </vt:variant>
      <vt:variant>
        <vt:i4>0</vt:i4>
      </vt:variant>
      <vt:variant>
        <vt:i4>0</vt:i4>
      </vt:variant>
      <vt:variant>
        <vt:i4>5</vt:i4>
      </vt:variant>
      <vt:variant>
        <vt:lpwstr>http://www.apxgroup.com/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2017-03-03T10:37:00Z</dcterms:created>
  <dcterms:modified xsi:type="dcterms:W3CDTF">2017-03-09T11:04:00Z</dcterms:modified>
</cp:coreProperties>
</file>